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  <w:permStart w:id="1884500153" w:edGrp="everyone"/>
      <w:permEnd w:id="1884500153"/>
      <w:r>
        <w:rPr>
          <w:rFonts w:ascii="Times New Roman" w:hAnsi="Times New Roman"/>
          <w:color w:val="000000"/>
          <w:sz w:val="22"/>
        </w:rPr>
        <w:t>VOLUMEN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</w:rPr>
        <w:t>MODELOS DE OFERTA FINANCIERA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u w:val="single"/>
        </w:rPr>
        <w:t xml:space="preserve">CONTRATOS </w:t>
      </w:r>
      <w:r w:rsidR="001F04CF">
        <w:rPr>
          <w:b/>
          <w:color w:val="000000"/>
          <w:sz w:val="22"/>
          <w:u w:val="single"/>
        </w:rPr>
        <w:t>A TANTO ALZADO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</w:rPr>
        <w:t>Introducción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1.</w:t>
      </w:r>
      <w:r>
        <w:tab/>
      </w:r>
      <w:r>
        <w:rPr>
          <w:sz w:val="22"/>
        </w:rPr>
        <w:t xml:space="preserve">El desglose del precio </w:t>
      </w:r>
      <w:r w:rsidR="001F04CF">
        <w:rPr>
          <w:sz w:val="22"/>
        </w:rPr>
        <w:t>a tanto alzado</w:t>
      </w:r>
      <w:r>
        <w:rPr>
          <w:sz w:val="22"/>
        </w:rPr>
        <w:t xml:space="preserve"> (</w:t>
      </w:r>
      <w:r w:rsidRPr="00134C22">
        <w:rPr>
          <w:sz w:val="22"/>
          <w:u w:val="single"/>
        </w:rPr>
        <w:t>volumen 4.2.3</w:t>
      </w:r>
      <w:r>
        <w:rPr>
          <w:sz w:val="22"/>
        </w:rPr>
        <w:t xml:space="preserve">) es la lista de precios por partidas que refleja la elaboración del precio en un contrato </w:t>
      </w:r>
      <w:r w:rsidR="001F04CF">
        <w:rPr>
          <w:sz w:val="22"/>
        </w:rPr>
        <w:t>a tanto alzado</w:t>
      </w:r>
      <w:r>
        <w:rPr>
          <w:sz w:val="22"/>
        </w:rPr>
        <w:t xml:space="preserve">. El desglose del precio </w:t>
      </w:r>
      <w:r w:rsidR="001F04CF">
        <w:rPr>
          <w:sz w:val="22"/>
        </w:rPr>
        <w:t>a tanto alzado</w:t>
      </w:r>
      <w:r>
        <w:rPr>
          <w:sz w:val="22"/>
        </w:rPr>
        <w:t xml:space="preserve"> no exime de ningún modo de la cláusula según la cual, en un contrato </w:t>
      </w:r>
      <w:r w:rsidR="001F04CF">
        <w:rPr>
          <w:sz w:val="22"/>
        </w:rPr>
        <w:t>a tanto alzado</w:t>
      </w:r>
      <w:r>
        <w:rPr>
          <w:sz w:val="22"/>
        </w:rPr>
        <w:t>, el precio total del contrato no varía con independencia de la cantidad de trabajo realizado efectivamente.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>
        <w:rPr>
          <w:sz w:val="22"/>
        </w:rPr>
        <w:t>Los importes adeudados se calcularán: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>
        <w:rPr>
          <w:sz w:val="22"/>
        </w:rPr>
        <w:t>&lt;El desglose debe coincidir con la definición de pago seleccionada en la cláusula 49 de las Condiciones Particulares: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>
        <w:rPr>
          <w:sz w:val="22"/>
          <w:highlight w:val="yellow"/>
        </w:rPr>
        <w:t>Por ejemplo: &lt;</w:t>
      </w:r>
      <w:r w:rsidR="00134C22">
        <w:rPr>
          <w:sz w:val="22"/>
          <w:highlight w:val="yellow"/>
        </w:rPr>
        <w:t>midiendo</w:t>
      </w:r>
      <w:r>
        <w:rPr>
          <w:sz w:val="22"/>
          <w:highlight w:val="yellow"/>
        </w:rPr>
        <w:t xml:space="preserve"> el porcentaje de las obras efectuadas en relación con las cantidades firmes de cada partida del desglose del </w:t>
      </w:r>
      <w:r w:rsidR="001F04CF">
        <w:rPr>
          <w:sz w:val="22"/>
          <w:highlight w:val="yellow"/>
        </w:rPr>
        <w:t>precio a tanto alzado</w:t>
      </w:r>
      <w:r>
        <w:rPr>
          <w:sz w:val="22"/>
          <w:highlight w:val="yellow"/>
        </w:rPr>
        <w:t xml:space="preserve"> y aplicando ese porcentaje al </w:t>
      </w:r>
      <w:r w:rsidR="001F04CF">
        <w:rPr>
          <w:sz w:val="22"/>
          <w:highlight w:val="yellow"/>
        </w:rPr>
        <w:t>precio a tanto alzado</w:t>
      </w:r>
      <w:r>
        <w:rPr>
          <w:sz w:val="22"/>
          <w:highlight w:val="yellow"/>
        </w:rPr>
        <w:t xml:space="preserve"> de la partida correspondiente&gt;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>
        <w:rPr>
          <w:sz w:val="22"/>
          <w:highlight w:val="yellow"/>
        </w:rPr>
        <w:t>Por ejemplo: &lt;</w:t>
      </w:r>
      <w:r w:rsidR="00134C22">
        <w:rPr>
          <w:sz w:val="22"/>
          <w:highlight w:val="yellow"/>
        </w:rPr>
        <w:t>mediante</w:t>
      </w:r>
      <w:r>
        <w:rPr>
          <w:sz w:val="22"/>
          <w:highlight w:val="yellow"/>
        </w:rPr>
        <w:t xml:space="preserve"> los tramos previstos en la cláusula 49.1</w:t>
      </w:r>
      <w:r w:rsidR="00683EDB">
        <w:rPr>
          <w:sz w:val="22"/>
          <w:highlight w:val="yellow"/>
        </w:rPr>
        <w:t>.</w:t>
      </w:r>
      <w:r>
        <w:rPr>
          <w:sz w:val="22"/>
          <w:highlight w:val="yellow"/>
        </w:rPr>
        <w:t>a), de las Condiciones Particulares&gt;.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2.</w:t>
      </w:r>
      <w:r>
        <w:tab/>
      </w:r>
      <w:r>
        <w:rPr>
          <w:sz w:val="22"/>
        </w:rPr>
        <w:t xml:space="preserve">La descripción por partidas que figura en 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no limita en modo alguno las obligaciones del contratista en el marco del contrato de prestar todos los trabajos descritos en otro lugar.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3.</w:t>
      </w:r>
      <w:r>
        <w:tab/>
      </w:r>
      <w:r>
        <w:rPr>
          <w:sz w:val="22"/>
        </w:rPr>
        <w:t xml:space="preserve">Los precios del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incluyen todos los gastos extraordinarios e imprevistos y todos los riesgos necesarios para construir, terminar y mantener todas las obras de conformidad con el contrato. </w:t>
      </w:r>
      <w:r w:rsidR="007B1480">
        <w:rPr>
          <w:sz w:val="22"/>
        </w:rPr>
        <w:t>Salvo</w:t>
      </w:r>
      <w:r>
        <w:rPr>
          <w:sz w:val="22"/>
        </w:rPr>
        <w:t xml:space="preserve"> que en el desglose del </w:t>
      </w:r>
      <w:r w:rsidR="001F04CF">
        <w:rPr>
          <w:sz w:val="22"/>
        </w:rPr>
        <w:t>precio a tanto alzado</w:t>
      </w:r>
      <w:r>
        <w:rPr>
          <w:sz w:val="22"/>
        </w:rPr>
        <w:t xml:space="preserve"> figuren partidas separadas, los precios incluyen todos los costes de las diferentes partidas del desglose.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</w:rPr>
        <w:t>4.</w:t>
      </w:r>
      <w:r>
        <w:tab/>
      </w:r>
      <w:r w:rsidR="00683EDB" w:rsidRPr="00683EDB">
        <w:rPr>
          <w:sz w:val="22"/>
        </w:rPr>
        <w:t xml:space="preserve">El precio a tanto alzado y los precios del desglose del precio </w:t>
      </w:r>
      <w:r w:rsidR="00683EDB">
        <w:rPr>
          <w:sz w:val="22"/>
        </w:rPr>
        <w:t xml:space="preserve">a tanto alzado incluyen todos los conceptos así como </w:t>
      </w:r>
      <w:r w:rsidR="00683EDB" w:rsidRPr="00683EDB">
        <w:rPr>
          <w:sz w:val="22"/>
        </w:rPr>
        <w:t xml:space="preserve">cualquier </w:t>
      </w:r>
      <w:r w:rsidR="00683EDB">
        <w:rPr>
          <w:sz w:val="22"/>
        </w:rPr>
        <w:t xml:space="preserve">impuesto o tributo </w:t>
      </w:r>
      <w:r w:rsidR="00683EDB" w:rsidRPr="00683EDB">
        <w:rPr>
          <w:sz w:val="22"/>
        </w:rPr>
        <w:t>fiscal no exento</w:t>
      </w:r>
      <w:r>
        <w:rPr>
          <w:sz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>
        <w:br w:type="page"/>
      </w:r>
      <w:r>
        <w:rPr>
          <w:b/>
          <w:color w:val="000000"/>
          <w:sz w:val="22"/>
        </w:rPr>
        <w:lastRenderedPageBreak/>
        <w:t>VOLUMEN 4.2.3</w:t>
      </w:r>
      <w:r w:rsidR="007B1480">
        <w:rPr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 xml:space="preserve">— DESGLOSE DEL </w:t>
      </w:r>
      <w:r w:rsidR="001F04CF">
        <w:rPr>
          <w:b/>
          <w:color w:val="000000"/>
          <w:sz w:val="22"/>
        </w:rPr>
        <w:t>PRECIO A TANTO ALZADO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268"/>
        <w:gridCol w:w="1098"/>
        <w:gridCol w:w="1312"/>
        <w:gridCol w:w="1388"/>
        <w:gridCol w:w="1980"/>
      </w:tblGrid>
      <w:tr w:rsidR="00F9163A" w:rsidRPr="00E725FE" w:rsidTr="00294E40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Partida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Descripción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Unidad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  <w:vAlign w:val="bottom"/>
          </w:tcPr>
          <w:p w:rsidR="00F9163A" w:rsidRPr="00E725FE" w:rsidRDefault="00F9163A" w:rsidP="007B14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 xml:space="preserve">Precio </w:t>
            </w:r>
            <w:r w:rsidR="00386958">
              <w:rPr>
                <w:b/>
                <w:color w:val="000000"/>
                <w:sz w:val="22"/>
              </w:rPr>
              <w:t>unitario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Cantidades firmes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1F04CF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Precio a tanto alzado</w:t>
            </w:r>
            <w:r w:rsidR="00F9163A">
              <w:rPr>
                <w:b/>
                <w:color w:val="000000"/>
                <w:sz w:val="22"/>
              </w:rPr>
              <w:t xml:space="preserve"> 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[EUR] [moneda local]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38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1F04CF" w:rsidP="00F9163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</w:rPr>
              <w:t>Precio a tanto alzado</w:t>
            </w:r>
            <w:r w:rsidR="00F9163A">
              <w:rPr>
                <w:b/>
                <w:color w:val="000000"/>
                <w:sz w:val="22"/>
              </w:rPr>
              <w:t xml:space="preserve"> total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294E40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1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47" w:rsidRPr="00E725FE" w:rsidRDefault="00DF4447">
      <w:r>
        <w:separator/>
      </w:r>
    </w:p>
  </w:endnote>
  <w:endnote w:type="continuationSeparator" w:id="0">
    <w:p w:rsidR="00DF4447" w:rsidRPr="00E725FE" w:rsidRDefault="00DF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5D" w:rsidRPr="003174CA" w:rsidRDefault="003174CA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0" w:name="_GoBack"/>
    <w:bookmarkEnd w:id="0"/>
    <w:r w:rsidR="004C505D" w:rsidRPr="003174CA">
      <w:rPr>
        <w:lang w:val="pt-PT"/>
      </w:rPr>
      <w:tab/>
    </w:r>
    <w:r w:rsidR="004C505D" w:rsidRPr="003174CA">
      <w:rPr>
        <w:sz w:val="18"/>
        <w:lang w:val="pt-PT"/>
      </w:rPr>
      <w:t xml:space="preserve">Página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3174CA">
      <w:rPr>
        <w:rStyle w:val="PageNumber"/>
        <w:sz w:val="18"/>
        <w:szCs w:val="18"/>
        <w:lang w:val="pt-PT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3174CA">
      <w:rPr>
        <w:rStyle w:val="PageNumber"/>
        <w:sz w:val="18"/>
        <w:lang w:val="pt-PT"/>
      </w:rPr>
      <w:t xml:space="preserve"> de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3174CA">
      <w:rPr>
        <w:rStyle w:val="PageNumber"/>
        <w:sz w:val="18"/>
        <w:szCs w:val="18"/>
        <w:lang w:val="pt-PT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3174CA" w:rsidRDefault="007A3E57" w:rsidP="004C505D">
    <w:pPr>
      <w:rPr>
        <w:sz w:val="18"/>
        <w:szCs w:val="18"/>
        <w:lang w:val="pt-PT"/>
      </w:rPr>
    </w:pPr>
    <w:r w:rsidRPr="00063B37">
      <w:rPr>
        <w:sz w:val="18"/>
        <w:szCs w:val="18"/>
      </w:rPr>
      <w:fldChar w:fldCharType="begin"/>
    </w:r>
    <w:r w:rsidRPr="003174CA">
      <w:rPr>
        <w:sz w:val="18"/>
        <w:szCs w:val="18"/>
        <w:lang w:val="pt-PT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Pr="003174CA">
      <w:rPr>
        <w:noProof/>
        <w:sz w:val="18"/>
        <w:szCs w:val="18"/>
        <w:lang w:val="pt-PT"/>
      </w:rPr>
      <w:t>ds4w_finoffer_4dot2_simpl_es.doc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</w:rPr>
      <w:t>2015</w:t>
    </w:r>
    <w:r>
      <w:tab/>
    </w:r>
    <w:r>
      <w:rPr>
        <w:rStyle w:val="PageNumber"/>
        <w:sz w:val="18"/>
      </w:rPr>
      <w:t xml:space="preserve">Página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7B1480">
      <w:rPr>
        <w:rStyle w:val="PageNumber"/>
        <w:noProof/>
        <w:sz w:val="18"/>
        <w:szCs w:val="18"/>
      </w:rPr>
      <w:t>2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 w:fldLock="1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47" w:rsidRPr="00E725FE" w:rsidRDefault="00DF4447">
      <w:r>
        <w:separator/>
      </w:r>
    </w:p>
  </w:footnote>
  <w:footnote w:type="continuationSeparator" w:id="0">
    <w:p w:rsidR="00DF4447" w:rsidRPr="00E725FE" w:rsidRDefault="00DF4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DB" w:rsidRDefault="00683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DB" w:rsidRDefault="00683E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AAA01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F544CF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F1340E1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61A4C6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986F36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74BCBE9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6DC73C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E88472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EE9F5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E9CE123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6AA23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126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1C62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FED4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0A4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64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E6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A8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A8241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62D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F8A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6286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0BE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88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54A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E6A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0A6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97BEDC7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BFCB8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8590585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56A5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3AB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E2E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9A83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672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CCE0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786D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5A5E3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9AF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14B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61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AEB1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C84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806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5675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2A8A0D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CADF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C24A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525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E01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84F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804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9257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785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3B8D0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649D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D5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749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6E5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66BF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F0B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50E5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FA93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EE7A7E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72EB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14B0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8B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F62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F8C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A0D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F066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82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34C22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1F04CF"/>
    <w:rsid w:val="00203C42"/>
    <w:rsid w:val="00203E27"/>
    <w:rsid w:val="00205125"/>
    <w:rsid w:val="00205F35"/>
    <w:rsid w:val="00212360"/>
    <w:rsid w:val="0021368F"/>
    <w:rsid w:val="002172D1"/>
    <w:rsid w:val="002223C1"/>
    <w:rsid w:val="0023295D"/>
    <w:rsid w:val="002475C4"/>
    <w:rsid w:val="00247FEF"/>
    <w:rsid w:val="00252888"/>
    <w:rsid w:val="00253B57"/>
    <w:rsid w:val="00286A23"/>
    <w:rsid w:val="00294E40"/>
    <w:rsid w:val="00295092"/>
    <w:rsid w:val="002B13F4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174CA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6958"/>
    <w:rsid w:val="00392541"/>
    <w:rsid w:val="003A2536"/>
    <w:rsid w:val="003A358D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13EE3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3ED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3E57"/>
    <w:rsid w:val="007A5020"/>
    <w:rsid w:val="007A7CE0"/>
    <w:rsid w:val="007B00C5"/>
    <w:rsid w:val="007B1480"/>
    <w:rsid w:val="007C1642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6189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2F0D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E8862F7C-1F61-495E-8613-E5AA8112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1757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2016-02-15T16:25:00Z</cp:lastPrinted>
  <dcterms:created xsi:type="dcterms:W3CDTF">2018-10-18T15:08:00Z</dcterms:created>
  <dcterms:modified xsi:type="dcterms:W3CDTF">2019-07-11T12:59:00Z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