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2E7F" w:rsidRPr="001437A5" w:rsidRDefault="00354943" w:rsidP="00354943">
      <w:pPr>
        <w:pStyle w:val="Header"/>
        <w:spacing w:before="0" w:after="360"/>
        <w:jc w:val="center"/>
        <w:rPr>
          <w:rFonts w:ascii="Times New Roman" w:hAnsi="Times New Roman"/>
          <w:sz w:val="28"/>
          <w:szCs w:val="28"/>
          <w:lang w:val="es-ES"/>
        </w:rPr>
      </w:pPr>
      <w:r w:rsidRPr="001437A5">
        <w:rPr>
          <w:rFonts w:ascii="Times New Roman" w:hAnsi="Times New Roman"/>
          <w:sz w:val="28"/>
          <w:szCs w:val="28"/>
          <w:lang w:val="es-ES"/>
        </w:rPr>
        <w:t>P</w:t>
      </w:r>
      <w:r w:rsidR="00F02E7F" w:rsidRPr="001437A5">
        <w:rPr>
          <w:rFonts w:ascii="Times New Roman" w:hAnsi="Times New Roman"/>
          <w:sz w:val="28"/>
          <w:szCs w:val="28"/>
          <w:lang w:val="es-ES"/>
        </w:rPr>
        <w:t>rogram</w:t>
      </w:r>
      <w:r w:rsidR="002C2195" w:rsidRPr="001437A5">
        <w:rPr>
          <w:rFonts w:ascii="Times New Roman" w:hAnsi="Times New Roman"/>
          <w:sz w:val="28"/>
          <w:szCs w:val="28"/>
          <w:lang w:val="es-ES"/>
        </w:rPr>
        <w:t>a</w:t>
      </w:r>
      <w:r w:rsidR="00F02E7F" w:rsidRPr="001437A5">
        <w:rPr>
          <w:rFonts w:ascii="Times New Roman" w:hAnsi="Times New Roman"/>
          <w:sz w:val="28"/>
          <w:szCs w:val="28"/>
          <w:lang w:val="es-ES"/>
        </w:rPr>
        <w:t>s</w:t>
      </w:r>
      <w:r w:rsidRPr="001437A5">
        <w:rPr>
          <w:rFonts w:ascii="Times New Roman" w:hAnsi="Times New Roman"/>
          <w:sz w:val="28"/>
          <w:szCs w:val="28"/>
          <w:lang w:val="es-ES"/>
        </w:rPr>
        <w:t xml:space="preserve"> CE</w:t>
      </w:r>
    </w:p>
    <w:p w:rsidR="00F02E7F" w:rsidRPr="001437A5" w:rsidRDefault="00F02E7F" w:rsidP="00776F45">
      <w:pPr>
        <w:pBdr>
          <w:top w:val="single" w:sz="4" w:space="1" w:color="auto"/>
          <w:left w:val="single" w:sz="4" w:space="0" w:color="auto"/>
          <w:bottom w:val="single" w:sz="4" w:space="1" w:color="auto"/>
          <w:right w:val="single" w:sz="4" w:space="4" w:color="auto"/>
        </w:pBdr>
        <w:tabs>
          <w:tab w:val="left" w:pos="993"/>
        </w:tabs>
        <w:ind w:left="851" w:hanging="709"/>
        <w:rPr>
          <w:sz w:val="28"/>
          <w:szCs w:val="28"/>
          <w:lang w:val="es-ES"/>
        </w:rPr>
      </w:pPr>
      <w:r w:rsidRPr="001437A5">
        <w:rPr>
          <w:b/>
          <w:sz w:val="28"/>
          <w:szCs w:val="28"/>
          <w:lang w:val="es-ES"/>
        </w:rPr>
        <w:t>Part</w:t>
      </w:r>
      <w:r w:rsidR="002C2195" w:rsidRPr="001437A5">
        <w:rPr>
          <w:b/>
          <w:sz w:val="28"/>
          <w:szCs w:val="28"/>
          <w:lang w:val="es-ES"/>
        </w:rPr>
        <w:t>e</w:t>
      </w:r>
      <w:r w:rsidRPr="001437A5">
        <w:rPr>
          <w:b/>
          <w:sz w:val="28"/>
          <w:szCs w:val="28"/>
          <w:lang w:val="es-ES"/>
        </w:rPr>
        <w:t xml:space="preserve"> 1</w:t>
      </w:r>
      <w:r w:rsidRPr="001437A5">
        <w:rPr>
          <w:b/>
          <w:sz w:val="28"/>
          <w:szCs w:val="28"/>
          <w:lang w:val="es-ES"/>
        </w:rPr>
        <w:tab/>
        <w:t>Reg</w:t>
      </w:r>
      <w:r w:rsidR="002C2195" w:rsidRPr="001437A5">
        <w:rPr>
          <w:b/>
          <w:sz w:val="28"/>
          <w:szCs w:val="28"/>
          <w:lang w:val="es-ES"/>
        </w:rPr>
        <w:t xml:space="preserve">lamentos </w:t>
      </w:r>
      <w:r w:rsidR="00CA074E">
        <w:rPr>
          <w:b/>
          <w:sz w:val="28"/>
          <w:szCs w:val="28"/>
          <w:lang w:val="es-ES"/>
        </w:rPr>
        <w:t>relativos a</w:t>
      </w:r>
      <w:r w:rsidR="002C2195" w:rsidRPr="001437A5">
        <w:rPr>
          <w:b/>
          <w:sz w:val="28"/>
          <w:szCs w:val="28"/>
          <w:lang w:val="es-ES"/>
        </w:rPr>
        <w:t xml:space="preserve"> la ayuda exterior</w:t>
      </w:r>
      <w:r w:rsidRPr="001437A5">
        <w:rPr>
          <w:b/>
          <w:sz w:val="28"/>
          <w:szCs w:val="28"/>
          <w:lang w:val="es-ES"/>
        </w:rPr>
        <w:t xml:space="preserve"> </w:t>
      </w:r>
    </w:p>
    <w:p w:rsidR="00A256C4" w:rsidRPr="001437A5" w:rsidRDefault="00A256C4" w:rsidP="00264FF7">
      <w:pPr>
        <w:tabs>
          <w:tab w:val="left" w:pos="1701"/>
        </w:tabs>
        <w:jc w:val="both"/>
        <w:rPr>
          <w:sz w:val="22"/>
          <w:szCs w:val="22"/>
          <w:lang w:val="es-ES"/>
        </w:rPr>
      </w:pPr>
    </w:p>
    <w:p w:rsidR="00CD5855" w:rsidRPr="001437A5" w:rsidRDefault="00354943" w:rsidP="00264FF7">
      <w:pPr>
        <w:tabs>
          <w:tab w:val="left" w:pos="1701"/>
        </w:tabs>
        <w:jc w:val="both"/>
        <w:rPr>
          <w:b/>
          <w:szCs w:val="24"/>
          <w:lang w:val="es-ES"/>
        </w:rPr>
      </w:pPr>
      <w:r w:rsidRPr="001437A5">
        <w:rPr>
          <w:b/>
          <w:szCs w:val="24"/>
          <w:u w:val="single"/>
          <w:lang w:val="es-ES"/>
        </w:rPr>
        <w:t>Acciones financiadas en virtud de los instrumentos para acciones exteriores 2007</w:t>
      </w:r>
      <w:r w:rsidRPr="001437A5">
        <w:rPr>
          <w:b/>
          <w:szCs w:val="24"/>
          <w:u w:val="single"/>
          <w:lang w:val="es-ES"/>
        </w:rPr>
        <w:noBreakHyphen/>
        <w:t>2013 a las que no se aplica el Reglamento de ejecución común (REC)</w:t>
      </w:r>
    </w:p>
    <w:p w:rsidR="001B263C" w:rsidRPr="001437A5" w:rsidRDefault="001B263C" w:rsidP="00264FF7">
      <w:pPr>
        <w:tabs>
          <w:tab w:val="left" w:pos="1701"/>
        </w:tabs>
        <w:jc w:val="both"/>
        <w:rPr>
          <w:b/>
          <w:szCs w:val="24"/>
          <w:lang w:val="es-ES"/>
        </w:rPr>
      </w:pPr>
    </w:p>
    <w:p w:rsidR="001B263C" w:rsidRPr="001437A5" w:rsidRDefault="00354943" w:rsidP="001B263C">
      <w:pPr>
        <w:spacing w:after="200" w:line="276" w:lineRule="auto"/>
        <w:jc w:val="both"/>
        <w:rPr>
          <w:lang w:val="es-ES" w:eastAsia="en-US"/>
        </w:rPr>
      </w:pPr>
      <w:r w:rsidRPr="001437A5">
        <w:rPr>
          <w:rFonts w:eastAsia="Calibri"/>
          <w:szCs w:val="24"/>
          <w:lang w:val="es-ES" w:eastAsia="en-US"/>
        </w:rPr>
        <w:t xml:space="preserve">A partir de su fecha de publicación, el 15 de marzo de 2014, las normas de elegibilidad (nacionalidad y origen) establecidas en el Reglamento de ejecución común se aplican a todas las convocatorias financiadas con cargo al presupuesto </w:t>
      </w:r>
      <w:r w:rsidR="005E4160">
        <w:rPr>
          <w:rFonts w:eastAsia="Calibri"/>
          <w:szCs w:val="24"/>
          <w:lang w:val="es-ES" w:eastAsia="en-US"/>
        </w:rPr>
        <w:t xml:space="preserve">general de la Unión </w:t>
      </w:r>
      <w:r w:rsidRPr="001437A5">
        <w:rPr>
          <w:rFonts w:eastAsia="Calibri"/>
          <w:szCs w:val="24"/>
          <w:lang w:val="es-ES" w:eastAsia="en-US"/>
        </w:rPr>
        <w:t xml:space="preserve">en virtud del </w:t>
      </w:r>
      <w:r w:rsidR="00CA074E">
        <w:rPr>
          <w:rFonts w:eastAsia="Calibri"/>
          <w:szCs w:val="24"/>
          <w:lang w:val="es-ES" w:eastAsia="en-US"/>
        </w:rPr>
        <w:t>marco financiero plurianual (MFP)</w:t>
      </w:r>
      <w:r w:rsidRPr="001437A5">
        <w:rPr>
          <w:rFonts w:eastAsia="Calibri"/>
          <w:szCs w:val="24"/>
          <w:lang w:val="es-ES" w:eastAsia="en-US"/>
        </w:rPr>
        <w:t xml:space="preserve"> 2007</w:t>
      </w:r>
      <w:r w:rsidRPr="001437A5">
        <w:rPr>
          <w:rFonts w:eastAsia="Calibri"/>
          <w:szCs w:val="24"/>
          <w:lang w:val="es-ES" w:eastAsia="en-US"/>
        </w:rPr>
        <w:noBreakHyphen/>
        <w:t>2013 o 2014</w:t>
      </w:r>
      <w:r w:rsidRPr="001437A5">
        <w:rPr>
          <w:rFonts w:eastAsia="Calibri"/>
          <w:szCs w:val="24"/>
          <w:lang w:val="es-ES" w:eastAsia="en-US"/>
        </w:rPr>
        <w:noBreakHyphen/>
        <w:t>2020, con excepción de las convocatorias financiadas en el marco del I</w:t>
      </w:r>
      <w:r w:rsidR="001244FF">
        <w:rPr>
          <w:rFonts w:eastAsia="Calibri"/>
          <w:szCs w:val="24"/>
          <w:lang w:val="es-ES" w:eastAsia="en-US"/>
        </w:rPr>
        <w:t>PA</w:t>
      </w:r>
      <w:r w:rsidRPr="001437A5">
        <w:rPr>
          <w:rFonts w:eastAsia="Calibri"/>
          <w:szCs w:val="24"/>
          <w:lang w:val="es-ES" w:eastAsia="en-US"/>
        </w:rPr>
        <w:t xml:space="preserve"> I y a menos que las decisiones </w:t>
      </w:r>
      <w:r w:rsidR="001437A5" w:rsidRPr="001437A5">
        <w:rPr>
          <w:rFonts w:eastAsia="Calibri"/>
          <w:szCs w:val="24"/>
          <w:lang w:val="es-ES" w:eastAsia="en-US"/>
        </w:rPr>
        <w:t xml:space="preserve">o convenios </w:t>
      </w:r>
      <w:r w:rsidRPr="001437A5">
        <w:rPr>
          <w:rFonts w:eastAsia="Calibri"/>
          <w:szCs w:val="24"/>
          <w:lang w:val="es-ES" w:eastAsia="en-US"/>
        </w:rPr>
        <w:t>de financiación aplicables estable</w:t>
      </w:r>
      <w:r w:rsidR="001437A5" w:rsidRPr="001437A5">
        <w:rPr>
          <w:rFonts w:eastAsia="Calibri"/>
          <w:szCs w:val="24"/>
          <w:lang w:val="es-ES" w:eastAsia="en-US"/>
        </w:rPr>
        <w:t>zcan</w:t>
      </w:r>
      <w:r w:rsidRPr="001437A5">
        <w:rPr>
          <w:rFonts w:eastAsia="Calibri"/>
          <w:szCs w:val="24"/>
          <w:lang w:val="es-ES" w:eastAsia="en-US"/>
        </w:rPr>
        <w:t xml:space="preserve"> expresamente otras normas </w:t>
      </w:r>
      <w:r w:rsidR="001437A5" w:rsidRPr="001437A5">
        <w:rPr>
          <w:lang w:val="es-ES"/>
        </w:rPr>
        <w:t>(distintas de la habitual referencia al acto de base)</w:t>
      </w:r>
      <w:r w:rsidRPr="001437A5">
        <w:rPr>
          <w:rFonts w:eastAsia="Calibri"/>
          <w:szCs w:val="24"/>
          <w:lang w:val="es-ES" w:eastAsia="en-US"/>
        </w:rPr>
        <w:t xml:space="preserve">. </w:t>
      </w:r>
      <w:r w:rsidR="001437A5" w:rsidRPr="001437A5">
        <w:rPr>
          <w:rFonts w:eastAsia="Calibri"/>
          <w:szCs w:val="24"/>
          <w:lang w:val="es-ES" w:eastAsia="en-US"/>
        </w:rPr>
        <w:t>Esto</w:t>
      </w:r>
      <w:r w:rsidRPr="001437A5">
        <w:rPr>
          <w:rFonts w:eastAsia="Calibri"/>
          <w:szCs w:val="24"/>
          <w:lang w:val="es-ES" w:eastAsia="en-US"/>
        </w:rPr>
        <w:t xml:space="preserve"> se aplica </w:t>
      </w:r>
      <w:r w:rsidR="001437A5" w:rsidRPr="001437A5">
        <w:rPr>
          <w:rFonts w:eastAsia="Calibri"/>
          <w:szCs w:val="24"/>
          <w:lang w:val="es-ES" w:eastAsia="en-US"/>
        </w:rPr>
        <w:t xml:space="preserve">igualmente </w:t>
      </w:r>
      <w:r w:rsidRPr="001437A5">
        <w:rPr>
          <w:rFonts w:eastAsia="Calibri"/>
          <w:szCs w:val="24"/>
          <w:lang w:val="es-ES" w:eastAsia="en-US"/>
        </w:rPr>
        <w:t xml:space="preserve">a la contratación por parte de los beneficiarios de subvenciones </w:t>
      </w:r>
      <w:r w:rsidR="001437A5" w:rsidRPr="001437A5">
        <w:rPr>
          <w:rFonts w:eastAsia="Calibri"/>
          <w:szCs w:val="24"/>
          <w:lang w:val="es-ES" w:eastAsia="en-US"/>
        </w:rPr>
        <w:t>u</w:t>
      </w:r>
      <w:r w:rsidRPr="001437A5">
        <w:rPr>
          <w:rFonts w:eastAsia="Calibri"/>
          <w:szCs w:val="24"/>
          <w:lang w:val="es-ES" w:eastAsia="en-US"/>
        </w:rPr>
        <w:t xml:space="preserve"> otros contratistas</w:t>
      </w:r>
      <w:r w:rsidR="001B263C" w:rsidRPr="001437A5">
        <w:rPr>
          <w:vertAlign w:val="superscript"/>
          <w:lang w:val="es-ES" w:eastAsia="en-US"/>
        </w:rPr>
        <w:footnoteReference w:id="1"/>
      </w:r>
      <w:r w:rsidR="001B263C" w:rsidRPr="001437A5">
        <w:rPr>
          <w:lang w:val="es-ES" w:eastAsia="en-US"/>
        </w:rPr>
        <w:t xml:space="preserve">. </w:t>
      </w:r>
      <w:r w:rsidR="001437A5" w:rsidRPr="001437A5">
        <w:rPr>
          <w:lang w:val="es-ES" w:eastAsia="en-US"/>
        </w:rPr>
        <w:t xml:space="preserve">Para estas convocatorias, se recogen a continuación las </w:t>
      </w:r>
      <w:r w:rsidR="001244FF">
        <w:rPr>
          <w:lang w:val="es-ES" w:eastAsia="en-US"/>
        </w:rPr>
        <w:t xml:space="preserve">correspondientes </w:t>
      </w:r>
      <w:r w:rsidR="001437A5" w:rsidRPr="001437A5">
        <w:rPr>
          <w:lang w:val="es-ES" w:eastAsia="en-US"/>
        </w:rPr>
        <w:t>bases jurídicas aplicables.</w:t>
      </w:r>
    </w:p>
    <w:p w:rsidR="000049C8" w:rsidRPr="001437A5" w:rsidRDefault="003735CB" w:rsidP="00976287">
      <w:pPr>
        <w:spacing w:before="120" w:after="120"/>
        <w:ind w:left="1078" w:hanging="539"/>
        <w:jc w:val="both"/>
        <w:rPr>
          <w:sz w:val="22"/>
          <w:szCs w:val="22"/>
          <w:lang w:val="es-ES"/>
        </w:rPr>
      </w:pPr>
      <w:r w:rsidRPr="001437A5">
        <w:rPr>
          <w:sz w:val="22"/>
          <w:szCs w:val="22"/>
          <w:lang w:val="es-ES"/>
        </w:rPr>
        <w:t>a)</w:t>
      </w:r>
      <w:r w:rsidR="002C2195" w:rsidRPr="001437A5">
        <w:rPr>
          <w:sz w:val="22"/>
          <w:szCs w:val="22"/>
          <w:lang w:val="es-ES"/>
        </w:rPr>
        <w:tab/>
        <w:t>Instrumento de Financiación de la Cooperación al Desarrollo [Reglamento (CE) n</w:t>
      </w:r>
      <w:r w:rsidR="002F7D00">
        <w:rPr>
          <w:sz w:val="22"/>
          <w:szCs w:val="22"/>
          <w:lang w:val="es-ES"/>
        </w:rPr>
        <w:t>.</w:t>
      </w:r>
      <w:r w:rsidR="002C2195" w:rsidRPr="001437A5">
        <w:rPr>
          <w:sz w:val="22"/>
          <w:szCs w:val="22"/>
          <w:lang w:val="es-ES"/>
        </w:rPr>
        <w:t>º 1905/2006 del Parlamento Europeo y del Consejo</w:t>
      </w:r>
      <w:r w:rsidR="000049C8" w:rsidRPr="001437A5">
        <w:rPr>
          <w:sz w:val="22"/>
          <w:szCs w:val="22"/>
          <w:lang w:val="es-ES"/>
        </w:rPr>
        <w:t xml:space="preserve"> - </w:t>
      </w:r>
      <w:r w:rsidR="002C2195" w:rsidRPr="001437A5">
        <w:rPr>
          <w:sz w:val="22"/>
          <w:szCs w:val="22"/>
          <w:lang w:val="es-ES"/>
        </w:rPr>
        <w:t>D</w:t>
      </w:r>
      <w:r w:rsidR="000049C8" w:rsidRPr="001437A5">
        <w:rPr>
          <w:sz w:val="22"/>
          <w:szCs w:val="22"/>
          <w:lang w:val="es-ES"/>
        </w:rPr>
        <w:t>O L</w:t>
      </w:r>
      <w:r w:rsidR="002C2195" w:rsidRPr="001437A5">
        <w:rPr>
          <w:sz w:val="22"/>
          <w:szCs w:val="22"/>
          <w:lang w:val="es-ES"/>
        </w:rPr>
        <w:t xml:space="preserve"> </w:t>
      </w:r>
      <w:r w:rsidR="000049C8" w:rsidRPr="001437A5">
        <w:rPr>
          <w:sz w:val="22"/>
          <w:szCs w:val="22"/>
          <w:lang w:val="es-ES"/>
        </w:rPr>
        <w:t xml:space="preserve">378 </w:t>
      </w:r>
      <w:r w:rsidR="002C2195" w:rsidRPr="001437A5">
        <w:rPr>
          <w:sz w:val="22"/>
          <w:szCs w:val="22"/>
          <w:lang w:val="es-ES"/>
        </w:rPr>
        <w:t>de</w:t>
      </w:r>
      <w:r w:rsidR="000049C8" w:rsidRPr="001437A5">
        <w:rPr>
          <w:sz w:val="22"/>
          <w:szCs w:val="22"/>
          <w:lang w:val="es-ES"/>
        </w:rPr>
        <w:t xml:space="preserve"> 27.12.2006</w:t>
      </w:r>
      <w:r w:rsidR="002F7D00">
        <w:rPr>
          <w:sz w:val="22"/>
          <w:szCs w:val="22"/>
          <w:lang w:val="es-ES"/>
        </w:rPr>
        <w:t>, p. 65</w:t>
      </w:r>
      <w:r w:rsidR="002C2195" w:rsidRPr="001437A5">
        <w:rPr>
          <w:sz w:val="22"/>
          <w:szCs w:val="22"/>
          <w:lang w:val="es-ES"/>
        </w:rPr>
        <w:t>]</w:t>
      </w:r>
      <w:r w:rsidR="000049C8" w:rsidRPr="001437A5">
        <w:rPr>
          <w:sz w:val="22"/>
          <w:szCs w:val="22"/>
          <w:lang w:val="es-ES"/>
        </w:rPr>
        <w:t>;</w:t>
      </w:r>
    </w:p>
    <w:p w:rsidR="000049C8" w:rsidRPr="001437A5" w:rsidRDefault="000049C8" w:rsidP="00976287">
      <w:pPr>
        <w:spacing w:before="120" w:after="120"/>
        <w:ind w:left="1080" w:hanging="540"/>
        <w:jc w:val="both"/>
        <w:rPr>
          <w:sz w:val="22"/>
          <w:szCs w:val="22"/>
          <w:lang w:val="es-ES"/>
        </w:rPr>
      </w:pPr>
      <w:r w:rsidRPr="001437A5">
        <w:rPr>
          <w:sz w:val="22"/>
          <w:szCs w:val="22"/>
          <w:lang w:val="es-ES"/>
        </w:rPr>
        <w:t>b)</w:t>
      </w:r>
      <w:r w:rsidRPr="001437A5">
        <w:rPr>
          <w:sz w:val="22"/>
          <w:szCs w:val="22"/>
          <w:lang w:val="es-ES"/>
        </w:rPr>
        <w:tab/>
      </w:r>
      <w:r w:rsidR="002C2195" w:rsidRPr="001437A5">
        <w:rPr>
          <w:sz w:val="22"/>
          <w:szCs w:val="22"/>
          <w:lang w:val="es-ES"/>
        </w:rPr>
        <w:t>Instrumento Europeo de Vecindad y de Asociación</w:t>
      </w:r>
      <w:r w:rsidRPr="001437A5">
        <w:rPr>
          <w:sz w:val="22"/>
          <w:szCs w:val="22"/>
          <w:lang w:val="es-ES"/>
        </w:rPr>
        <w:t xml:space="preserve"> </w:t>
      </w:r>
      <w:r w:rsidR="002C2195" w:rsidRPr="001437A5">
        <w:rPr>
          <w:sz w:val="22"/>
          <w:szCs w:val="22"/>
          <w:lang w:val="es-ES"/>
        </w:rPr>
        <w:t>[</w:t>
      </w:r>
      <w:r w:rsidRPr="001437A5">
        <w:rPr>
          <w:sz w:val="22"/>
          <w:szCs w:val="22"/>
          <w:lang w:val="es-ES"/>
        </w:rPr>
        <w:t>Reg</w:t>
      </w:r>
      <w:r w:rsidR="002C2195" w:rsidRPr="001437A5">
        <w:rPr>
          <w:sz w:val="22"/>
          <w:szCs w:val="22"/>
          <w:lang w:val="es-ES"/>
        </w:rPr>
        <w:t>lamento</w:t>
      </w:r>
      <w:r w:rsidRPr="001437A5">
        <w:rPr>
          <w:sz w:val="22"/>
          <w:szCs w:val="22"/>
          <w:lang w:val="es-ES"/>
        </w:rPr>
        <w:t xml:space="preserve"> (</w:t>
      </w:r>
      <w:r w:rsidR="002C2195" w:rsidRPr="001437A5">
        <w:rPr>
          <w:sz w:val="22"/>
          <w:szCs w:val="22"/>
          <w:lang w:val="es-ES"/>
        </w:rPr>
        <w:t>CE)</w:t>
      </w:r>
      <w:r w:rsidRPr="001437A5">
        <w:rPr>
          <w:sz w:val="22"/>
          <w:szCs w:val="22"/>
          <w:lang w:val="es-ES"/>
        </w:rPr>
        <w:t xml:space="preserve"> </w:t>
      </w:r>
      <w:r w:rsidR="002C2195" w:rsidRPr="001437A5">
        <w:rPr>
          <w:sz w:val="22"/>
          <w:szCs w:val="22"/>
          <w:lang w:val="es-ES"/>
        </w:rPr>
        <w:t>n</w:t>
      </w:r>
      <w:r w:rsidR="002F7D00">
        <w:rPr>
          <w:sz w:val="22"/>
          <w:szCs w:val="22"/>
          <w:lang w:val="es-ES"/>
        </w:rPr>
        <w:t>.</w:t>
      </w:r>
      <w:r w:rsidR="002C2195" w:rsidRPr="001437A5">
        <w:rPr>
          <w:sz w:val="22"/>
          <w:szCs w:val="22"/>
          <w:lang w:val="es-ES"/>
        </w:rPr>
        <w:t>º </w:t>
      </w:r>
      <w:r w:rsidRPr="001437A5">
        <w:rPr>
          <w:sz w:val="22"/>
          <w:szCs w:val="22"/>
          <w:lang w:val="es-ES"/>
        </w:rPr>
        <w:t xml:space="preserve">1638/2006 </w:t>
      </w:r>
      <w:r w:rsidR="002C2195" w:rsidRPr="001437A5">
        <w:rPr>
          <w:sz w:val="22"/>
          <w:szCs w:val="22"/>
          <w:lang w:val="es-ES"/>
        </w:rPr>
        <w:t>del Parlamento Europeo y de</w:t>
      </w:r>
      <w:r w:rsidRPr="001437A5">
        <w:rPr>
          <w:sz w:val="22"/>
          <w:szCs w:val="22"/>
          <w:lang w:val="es-ES"/>
        </w:rPr>
        <w:t>l</w:t>
      </w:r>
      <w:r w:rsidR="002C2195" w:rsidRPr="001437A5">
        <w:rPr>
          <w:sz w:val="22"/>
          <w:szCs w:val="22"/>
          <w:lang w:val="es-ES"/>
        </w:rPr>
        <w:t xml:space="preserve"> Consejo</w:t>
      </w:r>
      <w:r w:rsidRPr="001437A5">
        <w:rPr>
          <w:sz w:val="22"/>
          <w:szCs w:val="22"/>
          <w:lang w:val="es-ES"/>
        </w:rPr>
        <w:t xml:space="preserve"> - </w:t>
      </w:r>
      <w:r w:rsidR="002C2195" w:rsidRPr="001437A5">
        <w:rPr>
          <w:sz w:val="22"/>
          <w:szCs w:val="22"/>
          <w:lang w:val="es-ES"/>
        </w:rPr>
        <w:t>D</w:t>
      </w:r>
      <w:r w:rsidRPr="001437A5">
        <w:rPr>
          <w:sz w:val="22"/>
          <w:szCs w:val="22"/>
          <w:lang w:val="es-ES"/>
        </w:rPr>
        <w:t>O L 310</w:t>
      </w:r>
      <w:r w:rsidR="002F7D00">
        <w:rPr>
          <w:sz w:val="22"/>
          <w:szCs w:val="22"/>
          <w:lang w:val="es-ES"/>
        </w:rPr>
        <w:t xml:space="preserve"> </w:t>
      </w:r>
      <w:r w:rsidR="002C2195" w:rsidRPr="001437A5">
        <w:rPr>
          <w:sz w:val="22"/>
          <w:szCs w:val="22"/>
          <w:lang w:val="es-ES"/>
        </w:rPr>
        <w:t>de 9.11.2006</w:t>
      </w:r>
      <w:r w:rsidR="002F7D00">
        <w:rPr>
          <w:sz w:val="22"/>
          <w:szCs w:val="22"/>
          <w:lang w:val="es-ES"/>
        </w:rPr>
        <w:t>, p. 1</w:t>
      </w:r>
      <w:r w:rsidR="002C2195" w:rsidRPr="001437A5">
        <w:rPr>
          <w:sz w:val="22"/>
          <w:szCs w:val="22"/>
          <w:lang w:val="es-ES"/>
        </w:rPr>
        <w:t>]</w:t>
      </w:r>
      <w:r w:rsidRPr="001437A5">
        <w:rPr>
          <w:sz w:val="22"/>
          <w:szCs w:val="22"/>
          <w:lang w:val="es-ES"/>
        </w:rPr>
        <w:t>;</w:t>
      </w:r>
    </w:p>
    <w:p w:rsidR="000049C8" w:rsidRPr="001437A5" w:rsidRDefault="000049C8" w:rsidP="00976287">
      <w:pPr>
        <w:spacing w:before="120" w:after="120"/>
        <w:ind w:left="1080" w:hanging="540"/>
        <w:jc w:val="both"/>
        <w:rPr>
          <w:sz w:val="22"/>
          <w:szCs w:val="22"/>
          <w:lang w:val="es-ES"/>
        </w:rPr>
      </w:pPr>
      <w:r w:rsidRPr="001437A5">
        <w:rPr>
          <w:sz w:val="22"/>
          <w:szCs w:val="22"/>
          <w:lang w:val="es-ES"/>
        </w:rPr>
        <w:t>c)</w:t>
      </w:r>
      <w:r w:rsidRPr="001437A5">
        <w:rPr>
          <w:sz w:val="22"/>
          <w:szCs w:val="22"/>
          <w:lang w:val="es-ES"/>
        </w:rPr>
        <w:tab/>
      </w:r>
      <w:r w:rsidR="002C2195" w:rsidRPr="001437A5">
        <w:rPr>
          <w:sz w:val="22"/>
          <w:szCs w:val="22"/>
          <w:lang w:val="es-ES"/>
        </w:rPr>
        <w:t>Instrumento de Estabilidad</w:t>
      </w:r>
      <w:r w:rsidRPr="001437A5">
        <w:rPr>
          <w:sz w:val="22"/>
          <w:szCs w:val="22"/>
          <w:lang w:val="es-ES"/>
        </w:rPr>
        <w:t xml:space="preserve"> </w:t>
      </w:r>
      <w:r w:rsidR="002C2195" w:rsidRPr="001437A5">
        <w:rPr>
          <w:sz w:val="22"/>
          <w:szCs w:val="22"/>
          <w:lang w:val="es-ES"/>
        </w:rPr>
        <w:t>[</w:t>
      </w:r>
      <w:r w:rsidRPr="001437A5">
        <w:rPr>
          <w:sz w:val="22"/>
          <w:szCs w:val="22"/>
          <w:lang w:val="es-ES"/>
        </w:rPr>
        <w:t>Reg</w:t>
      </w:r>
      <w:r w:rsidR="002C2195" w:rsidRPr="001437A5">
        <w:rPr>
          <w:sz w:val="22"/>
          <w:szCs w:val="22"/>
          <w:lang w:val="es-ES"/>
        </w:rPr>
        <w:t>lamento</w:t>
      </w:r>
      <w:r w:rsidRPr="001437A5">
        <w:rPr>
          <w:sz w:val="22"/>
          <w:szCs w:val="22"/>
          <w:lang w:val="es-ES"/>
        </w:rPr>
        <w:t xml:space="preserve"> (</w:t>
      </w:r>
      <w:r w:rsidR="002C2195" w:rsidRPr="001437A5">
        <w:rPr>
          <w:sz w:val="22"/>
          <w:szCs w:val="22"/>
          <w:lang w:val="es-ES"/>
        </w:rPr>
        <w:t>C</w:t>
      </w:r>
      <w:r w:rsidRPr="001437A5">
        <w:rPr>
          <w:sz w:val="22"/>
          <w:szCs w:val="22"/>
          <w:lang w:val="es-ES"/>
        </w:rPr>
        <w:t xml:space="preserve">E) </w:t>
      </w:r>
      <w:r w:rsidR="002C2195" w:rsidRPr="001437A5">
        <w:rPr>
          <w:sz w:val="22"/>
          <w:szCs w:val="22"/>
          <w:lang w:val="es-ES"/>
        </w:rPr>
        <w:t>n</w:t>
      </w:r>
      <w:r w:rsidR="002F7D00">
        <w:rPr>
          <w:sz w:val="22"/>
          <w:szCs w:val="22"/>
          <w:lang w:val="es-ES"/>
        </w:rPr>
        <w:t>.</w:t>
      </w:r>
      <w:r w:rsidR="002C2195" w:rsidRPr="001437A5">
        <w:rPr>
          <w:sz w:val="22"/>
          <w:szCs w:val="22"/>
          <w:lang w:val="es-ES"/>
        </w:rPr>
        <w:t>º </w:t>
      </w:r>
      <w:r w:rsidRPr="001437A5">
        <w:rPr>
          <w:sz w:val="22"/>
          <w:szCs w:val="22"/>
          <w:lang w:val="es-ES"/>
        </w:rPr>
        <w:t xml:space="preserve">1717/2006 </w:t>
      </w:r>
      <w:r w:rsidR="002C2195" w:rsidRPr="001437A5">
        <w:rPr>
          <w:sz w:val="22"/>
          <w:szCs w:val="22"/>
          <w:lang w:val="es-ES"/>
        </w:rPr>
        <w:t xml:space="preserve">del Parlamento Europeo y del Consejo </w:t>
      </w:r>
      <w:r w:rsidR="002F7D00">
        <w:rPr>
          <w:sz w:val="22"/>
          <w:szCs w:val="22"/>
          <w:lang w:val="es-ES"/>
        </w:rPr>
        <w:t>-</w:t>
      </w:r>
      <w:r w:rsidR="002C2195" w:rsidRPr="001437A5">
        <w:rPr>
          <w:sz w:val="22"/>
          <w:szCs w:val="22"/>
          <w:lang w:val="es-ES"/>
        </w:rPr>
        <w:t xml:space="preserve"> DO L </w:t>
      </w:r>
      <w:r w:rsidRPr="001437A5">
        <w:rPr>
          <w:sz w:val="22"/>
          <w:szCs w:val="22"/>
          <w:lang w:val="es-ES"/>
        </w:rPr>
        <w:t>327</w:t>
      </w:r>
      <w:r w:rsidR="00CF2E98">
        <w:rPr>
          <w:sz w:val="22"/>
          <w:szCs w:val="22"/>
          <w:lang w:val="es-ES"/>
        </w:rPr>
        <w:t xml:space="preserve"> </w:t>
      </w:r>
      <w:r w:rsidR="002C2195" w:rsidRPr="001437A5">
        <w:rPr>
          <w:sz w:val="22"/>
          <w:szCs w:val="22"/>
          <w:lang w:val="es-ES"/>
        </w:rPr>
        <w:t>de</w:t>
      </w:r>
      <w:r w:rsidRPr="001437A5">
        <w:rPr>
          <w:sz w:val="22"/>
          <w:szCs w:val="22"/>
          <w:lang w:val="es-ES"/>
        </w:rPr>
        <w:t xml:space="preserve"> 24.11.2006</w:t>
      </w:r>
      <w:r w:rsidR="002F7D00">
        <w:rPr>
          <w:sz w:val="22"/>
          <w:szCs w:val="22"/>
          <w:lang w:val="es-ES"/>
        </w:rPr>
        <w:t>, p. 1</w:t>
      </w:r>
      <w:r w:rsidR="002C2195" w:rsidRPr="001437A5">
        <w:rPr>
          <w:sz w:val="22"/>
          <w:szCs w:val="22"/>
          <w:lang w:val="es-ES"/>
        </w:rPr>
        <w:t>]</w:t>
      </w:r>
      <w:r w:rsidRPr="001437A5">
        <w:rPr>
          <w:sz w:val="22"/>
          <w:szCs w:val="22"/>
          <w:lang w:val="es-ES"/>
        </w:rPr>
        <w:t>;</w:t>
      </w:r>
    </w:p>
    <w:p w:rsidR="000049C8" w:rsidRPr="001437A5" w:rsidRDefault="000049C8" w:rsidP="00976287">
      <w:pPr>
        <w:autoSpaceDE w:val="0"/>
        <w:autoSpaceDN w:val="0"/>
        <w:adjustRightInd w:val="0"/>
        <w:spacing w:before="120" w:after="120"/>
        <w:ind w:left="1080" w:hanging="540"/>
        <w:jc w:val="both"/>
        <w:rPr>
          <w:sz w:val="22"/>
          <w:szCs w:val="22"/>
          <w:lang w:val="es-ES"/>
        </w:rPr>
      </w:pPr>
      <w:r w:rsidRPr="001437A5">
        <w:rPr>
          <w:sz w:val="22"/>
          <w:szCs w:val="22"/>
          <w:lang w:val="es-ES"/>
        </w:rPr>
        <w:t>d)</w:t>
      </w:r>
      <w:r w:rsidRPr="001437A5">
        <w:rPr>
          <w:sz w:val="22"/>
          <w:szCs w:val="22"/>
          <w:lang w:val="es-ES"/>
        </w:rPr>
        <w:tab/>
        <w:t>Instrument</w:t>
      </w:r>
      <w:r w:rsidR="002C2195" w:rsidRPr="001437A5">
        <w:rPr>
          <w:sz w:val="22"/>
          <w:szCs w:val="22"/>
          <w:lang w:val="es-ES"/>
        </w:rPr>
        <w:t>o de ayuda Preadhesión [Reglamento (CE) n</w:t>
      </w:r>
      <w:r w:rsidR="002F7D00">
        <w:rPr>
          <w:sz w:val="22"/>
          <w:szCs w:val="22"/>
          <w:lang w:val="es-ES"/>
        </w:rPr>
        <w:t>.</w:t>
      </w:r>
      <w:r w:rsidR="002C2195" w:rsidRPr="001437A5">
        <w:rPr>
          <w:sz w:val="22"/>
          <w:szCs w:val="22"/>
          <w:lang w:val="es-ES"/>
        </w:rPr>
        <w:t>º </w:t>
      </w:r>
      <w:r w:rsidRPr="001437A5">
        <w:rPr>
          <w:sz w:val="22"/>
          <w:szCs w:val="22"/>
          <w:lang w:val="es-ES"/>
        </w:rPr>
        <w:t>1085/2006</w:t>
      </w:r>
      <w:r w:rsidR="002C2195" w:rsidRPr="001437A5">
        <w:rPr>
          <w:sz w:val="22"/>
          <w:szCs w:val="22"/>
          <w:lang w:val="es-ES"/>
        </w:rPr>
        <w:t xml:space="preserve"> del Consejo</w:t>
      </w:r>
      <w:r w:rsidRPr="001437A5">
        <w:rPr>
          <w:sz w:val="22"/>
          <w:szCs w:val="22"/>
          <w:lang w:val="es-ES"/>
        </w:rPr>
        <w:t xml:space="preserve"> </w:t>
      </w:r>
      <w:r w:rsidR="00776F45" w:rsidRPr="001437A5">
        <w:rPr>
          <w:sz w:val="22"/>
          <w:szCs w:val="22"/>
          <w:lang w:val="es-ES"/>
        </w:rPr>
        <w:t>–</w:t>
      </w:r>
      <w:r w:rsidRPr="001437A5">
        <w:rPr>
          <w:sz w:val="22"/>
          <w:szCs w:val="22"/>
          <w:lang w:val="es-ES"/>
        </w:rPr>
        <w:t xml:space="preserve"> </w:t>
      </w:r>
      <w:r w:rsidR="002C2195" w:rsidRPr="001437A5">
        <w:rPr>
          <w:sz w:val="22"/>
          <w:szCs w:val="22"/>
          <w:lang w:val="es-ES"/>
        </w:rPr>
        <w:t>D</w:t>
      </w:r>
      <w:r w:rsidRPr="001437A5">
        <w:rPr>
          <w:sz w:val="22"/>
          <w:szCs w:val="22"/>
          <w:lang w:val="es-ES"/>
        </w:rPr>
        <w:t>O</w:t>
      </w:r>
      <w:r w:rsidR="00776F45" w:rsidRPr="001437A5">
        <w:rPr>
          <w:sz w:val="22"/>
          <w:szCs w:val="22"/>
          <w:lang w:val="es-ES"/>
        </w:rPr>
        <w:t> </w:t>
      </w:r>
      <w:r w:rsidRPr="001437A5">
        <w:rPr>
          <w:sz w:val="22"/>
          <w:szCs w:val="22"/>
          <w:lang w:val="es-ES"/>
        </w:rPr>
        <w:t>L</w:t>
      </w:r>
      <w:r w:rsidR="00776F45" w:rsidRPr="001437A5">
        <w:rPr>
          <w:sz w:val="22"/>
          <w:szCs w:val="22"/>
          <w:lang w:val="es-ES"/>
        </w:rPr>
        <w:t> </w:t>
      </w:r>
      <w:r w:rsidRPr="001437A5">
        <w:rPr>
          <w:sz w:val="22"/>
          <w:szCs w:val="22"/>
          <w:lang w:val="es-ES"/>
        </w:rPr>
        <w:t>210</w:t>
      </w:r>
      <w:r w:rsidR="00CF2E98">
        <w:rPr>
          <w:sz w:val="22"/>
          <w:szCs w:val="22"/>
          <w:lang w:val="es-ES"/>
        </w:rPr>
        <w:t xml:space="preserve"> </w:t>
      </w:r>
      <w:r w:rsidR="002C2195" w:rsidRPr="001437A5">
        <w:rPr>
          <w:sz w:val="22"/>
          <w:szCs w:val="22"/>
          <w:lang w:val="es-ES"/>
        </w:rPr>
        <w:t>de</w:t>
      </w:r>
      <w:r w:rsidRPr="001437A5">
        <w:rPr>
          <w:sz w:val="22"/>
          <w:szCs w:val="22"/>
          <w:lang w:val="es-ES"/>
        </w:rPr>
        <w:t xml:space="preserve"> 31.7.2006</w:t>
      </w:r>
      <w:r w:rsidR="002F7D00">
        <w:rPr>
          <w:sz w:val="22"/>
          <w:szCs w:val="22"/>
          <w:lang w:val="es-ES"/>
        </w:rPr>
        <w:t>, p. 82</w:t>
      </w:r>
      <w:r w:rsidR="002C2195" w:rsidRPr="001437A5">
        <w:rPr>
          <w:sz w:val="22"/>
          <w:szCs w:val="22"/>
          <w:lang w:val="es-ES"/>
        </w:rPr>
        <w:t>]</w:t>
      </w:r>
      <w:r w:rsidRPr="001437A5">
        <w:rPr>
          <w:sz w:val="22"/>
          <w:szCs w:val="22"/>
          <w:lang w:val="es-ES"/>
        </w:rPr>
        <w:t>;</w:t>
      </w:r>
    </w:p>
    <w:p w:rsidR="000049C8" w:rsidRPr="001437A5" w:rsidRDefault="002C2195" w:rsidP="00976287">
      <w:pPr>
        <w:autoSpaceDE w:val="0"/>
        <w:autoSpaceDN w:val="0"/>
        <w:adjustRightInd w:val="0"/>
        <w:spacing w:before="120" w:after="120"/>
        <w:ind w:left="1080" w:hanging="540"/>
        <w:jc w:val="both"/>
        <w:rPr>
          <w:sz w:val="22"/>
          <w:szCs w:val="22"/>
          <w:lang w:val="es-ES"/>
        </w:rPr>
      </w:pPr>
      <w:r w:rsidRPr="001437A5">
        <w:rPr>
          <w:sz w:val="22"/>
          <w:szCs w:val="22"/>
          <w:lang w:val="es-ES"/>
        </w:rPr>
        <w:t>e)</w:t>
      </w:r>
      <w:r w:rsidRPr="001437A5">
        <w:rPr>
          <w:sz w:val="22"/>
          <w:szCs w:val="22"/>
          <w:lang w:val="es-ES"/>
        </w:rPr>
        <w:tab/>
        <w:t>Instrumento financiero para la promoción de la democracia y los derechos humanos a escala mundial</w:t>
      </w:r>
      <w:r w:rsidR="000049C8" w:rsidRPr="001437A5">
        <w:rPr>
          <w:color w:val="0000FF"/>
          <w:sz w:val="22"/>
          <w:szCs w:val="22"/>
          <w:lang w:val="es-ES"/>
        </w:rPr>
        <w:t xml:space="preserve"> </w:t>
      </w:r>
      <w:r w:rsidRPr="001437A5">
        <w:rPr>
          <w:sz w:val="22"/>
          <w:szCs w:val="22"/>
          <w:lang w:val="es-ES"/>
        </w:rPr>
        <w:t>[Reglamento</w:t>
      </w:r>
      <w:r w:rsidR="000049C8" w:rsidRPr="001437A5">
        <w:rPr>
          <w:sz w:val="22"/>
          <w:szCs w:val="22"/>
          <w:lang w:val="es-ES"/>
        </w:rPr>
        <w:t xml:space="preserve"> (</w:t>
      </w:r>
      <w:r w:rsidRPr="001437A5">
        <w:rPr>
          <w:sz w:val="22"/>
          <w:szCs w:val="22"/>
          <w:lang w:val="es-ES"/>
        </w:rPr>
        <w:t>C</w:t>
      </w:r>
      <w:r w:rsidR="000049C8" w:rsidRPr="001437A5">
        <w:rPr>
          <w:sz w:val="22"/>
          <w:szCs w:val="22"/>
          <w:lang w:val="es-ES"/>
        </w:rPr>
        <w:t xml:space="preserve">E) </w:t>
      </w:r>
      <w:r w:rsidRPr="001437A5">
        <w:rPr>
          <w:sz w:val="22"/>
          <w:szCs w:val="22"/>
          <w:lang w:val="es-ES"/>
        </w:rPr>
        <w:t>n</w:t>
      </w:r>
      <w:r w:rsidR="002F7D00">
        <w:rPr>
          <w:sz w:val="22"/>
          <w:szCs w:val="22"/>
          <w:lang w:val="es-ES"/>
        </w:rPr>
        <w:t>.</w:t>
      </w:r>
      <w:r w:rsidRPr="001437A5">
        <w:rPr>
          <w:sz w:val="22"/>
          <w:szCs w:val="22"/>
          <w:lang w:val="es-ES"/>
        </w:rPr>
        <w:t>º </w:t>
      </w:r>
      <w:r w:rsidR="000049C8" w:rsidRPr="001437A5">
        <w:rPr>
          <w:sz w:val="22"/>
          <w:szCs w:val="22"/>
          <w:lang w:val="es-ES"/>
        </w:rPr>
        <w:t xml:space="preserve">1889/2006 </w:t>
      </w:r>
      <w:r w:rsidRPr="001437A5">
        <w:rPr>
          <w:sz w:val="22"/>
          <w:szCs w:val="22"/>
          <w:lang w:val="es-ES"/>
        </w:rPr>
        <w:t>del Parlamento Europeo y de</w:t>
      </w:r>
      <w:r w:rsidR="00941BCA" w:rsidRPr="001437A5">
        <w:rPr>
          <w:sz w:val="22"/>
          <w:szCs w:val="22"/>
          <w:lang w:val="es-ES"/>
        </w:rPr>
        <w:t>l</w:t>
      </w:r>
      <w:r w:rsidRPr="001437A5">
        <w:rPr>
          <w:sz w:val="22"/>
          <w:szCs w:val="22"/>
          <w:lang w:val="es-ES"/>
        </w:rPr>
        <w:t xml:space="preserve"> Consejo</w:t>
      </w:r>
      <w:r w:rsidR="00941BCA" w:rsidRPr="001437A5">
        <w:rPr>
          <w:sz w:val="22"/>
          <w:szCs w:val="22"/>
          <w:lang w:val="es-ES"/>
        </w:rPr>
        <w:t xml:space="preserve"> - </w:t>
      </w:r>
      <w:r w:rsidRPr="001437A5">
        <w:rPr>
          <w:sz w:val="22"/>
          <w:szCs w:val="22"/>
          <w:lang w:val="es-ES"/>
        </w:rPr>
        <w:t>D</w:t>
      </w:r>
      <w:r w:rsidR="000049C8" w:rsidRPr="001437A5">
        <w:rPr>
          <w:sz w:val="22"/>
          <w:szCs w:val="22"/>
          <w:lang w:val="es-ES"/>
        </w:rPr>
        <w:t>O L 386</w:t>
      </w:r>
      <w:r w:rsidR="00CF2E98">
        <w:rPr>
          <w:sz w:val="22"/>
          <w:szCs w:val="22"/>
          <w:lang w:val="es-ES"/>
        </w:rPr>
        <w:t xml:space="preserve"> </w:t>
      </w:r>
      <w:r w:rsidRPr="001437A5">
        <w:rPr>
          <w:sz w:val="22"/>
          <w:szCs w:val="22"/>
          <w:lang w:val="es-ES"/>
        </w:rPr>
        <w:t>de</w:t>
      </w:r>
      <w:r w:rsidR="000049C8" w:rsidRPr="001437A5">
        <w:rPr>
          <w:sz w:val="22"/>
          <w:szCs w:val="22"/>
          <w:lang w:val="es-ES"/>
        </w:rPr>
        <w:t xml:space="preserve"> 29.12.2006</w:t>
      </w:r>
      <w:r w:rsidR="002F7D00">
        <w:rPr>
          <w:sz w:val="22"/>
          <w:szCs w:val="22"/>
          <w:lang w:val="es-ES"/>
        </w:rPr>
        <w:t>, p. 1</w:t>
      </w:r>
      <w:r w:rsidRPr="001437A5">
        <w:rPr>
          <w:sz w:val="22"/>
          <w:szCs w:val="22"/>
          <w:lang w:val="es-ES"/>
        </w:rPr>
        <w:t>]</w:t>
      </w:r>
      <w:r w:rsidR="000049C8" w:rsidRPr="001437A5">
        <w:rPr>
          <w:sz w:val="22"/>
          <w:szCs w:val="22"/>
          <w:lang w:val="es-ES"/>
        </w:rPr>
        <w:t>;</w:t>
      </w:r>
    </w:p>
    <w:p w:rsidR="000049C8" w:rsidRPr="001437A5" w:rsidRDefault="000049C8" w:rsidP="00976287">
      <w:pPr>
        <w:autoSpaceDE w:val="0"/>
        <w:autoSpaceDN w:val="0"/>
        <w:adjustRightInd w:val="0"/>
        <w:spacing w:before="120" w:after="120"/>
        <w:ind w:left="1080" w:hanging="540"/>
        <w:jc w:val="both"/>
        <w:rPr>
          <w:sz w:val="22"/>
          <w:szCs w:val="22"/>
          <w:lang w:val="es-ES"/>
        </w:rPr>
      </w:pPr>
      <w:r w:rsidRPr="001437A5">
        <w:rPr>
          <w:sz w:val="22"/>
          <w:szCs w:val="22"/>
          <w:lang w:val="es-ES"/>
        </w:rPr>
        <w:t>f)</w:t>
      </w:r>
      <w:r w:rsidRPr="001437A5">
        <w:rPr>
          <w:sz w:val="22"/>
          <w:szCs w:val="22"/>
          <w:lang w:val="es-ES"/>
        </w:rPr>
        <w:tab/>
      </w:r>
      <w:r w:rsidR="002C2195" w:rsidRPr="001437A5">
        <w:rPr>
          <w:sz w:val="22"/>
          <w:szCs w:val="22"/>
          <w:lang w:val="es-ES"/>
        </w:rPr>
        <w:t xml:space="preserve">Instrumento de financiación de la cooperación con los países y </w:t>
      </w:r>
      <w:r w:rsidR="001437A5" w:rsidRPr="001437A5">
        <w:rPr>
          <w:sz w:val="22"/>
          <w:szCs w:val="22"/>
          <w:lang w:val="es-ES"/>
        </w:rPr>
        <w:t>territorios</w:t>
      </w:r>
      <w:r w:rsidR="002C2195" w:rsidRPr="001437A5">
        <w:rPr>
          <w:sz w:val="22"/>
          <w:szCs w:val="22"/>
          <w:lang w:val="es-ES"/>
        </w:rPr>
        <w:t xml:space="preserve"> industrializados y otros países y territorios de renta alta [Reglamento (CE) n</w:t>
      </w:r>
      <w:r w:rsidR="002F7D00">
        <w:rPr>
          <w:sz w:val="22"/>
          <w:szCs w:val="22"/>
          <w:lang w:val="es-ES"/>
        </w:rPr>
        <w:t>.</w:t>
      </w:r>
      <w:r w:rsidR="002C2195" w:rsidRPr="001437A5">
        <w:rPr>
          <w:sz w:val="22"/>
          <w:szCs w:val="22"/>
          <w:lang w:val="es-ES"/>
        </w:rPr>
        <w:t>º 1934/2006 – DO L 405</w:t>
      </w:r>
      <w:r w:rsidRPr="001437A5">
        <w:rPr>
          <w:sz w:val="22"/>
          <w:szCs w:val="22"/>
          <w:lang w:val="es-ES"/>
        </w:rPr>
        <w:t xml:space="preserve"> </w:t>
      </w:r>
      <w:r w:rsidR="002C2195" w:rsidRPr="001437A5">
        <w:rPr>
          <w:sz w:val="22"/>
          <w:szCs w:val="22"/>
          <w:lang w:val="es-ES"/>
        </w:rPr>
        <w:t>de</w:t>
      </w:r>
      <w:r w:rsidRPr="001437A5">
        <w:rPr>
          <w:sz w:val="22"/>
          <w:szCs w:val="22"/>
          <w:lang w:val="es-ES"/>
        </w:rPr>
        <w:t xml:space="preserve"> 30.12.2006</w:t>
      </w:r>
      <w:r w:rsidR="002F7D00">
        <w:rPr>
          <w:sz w:val="22"/>
          <w:szCs w:val="22"/>
          <w:lang w:val="es-ES"/>
        </w:rPr>
        <w:t>, p. 41</w:t>
      </w:r>
      <w:r w:rsidR="002C2195" w:rsidRPr="001437A5">
        <w:rPr>
          <w:sz w:val="22"/>
          <w:szCs w:val="22"/>
          <w:lang w:val="es-ES"/>
        </w:rPr>
        <w:t>]</w:t>
      </w:r>
      <w:r w:rsidRPr="001437A5">
        <w:rPr>
          <w:sz w:val="22"/>
          <w:szCs w:val="22"/>
          <w:lang w:val="es-ES"/>
        </w:rPr>
        <w:t>;</w:t>
      </w:r>
    </w:p>
    <w:p w:rsidR="000049C8" w:rsidRPr="001437A5" w:rsidRDefault="000049C8" w:rsidP="00976287">
      <w:pPr>
        <w:autoSpaceDE w:val="0"/>
        <w:autoSpaceDN w:val="0"/>
        <w:adjustRightInd w:val="0"/>
        <w:spacing w:before="120" w:after="120"/>
        <w:ind w:left="1080" w:hanging="540"/>
        <w:jc w:val="both"/>
        <w:rPr>
          <w:sz w:val="22"/>
          <w:szCs w:val="22"/>
          <w:lang w:val="es-ES"/>
        </w:rPr>
      </w:pPr>
      <w:r w:rsidRPr="001437A5">
        <w:rPr>
          <w:sz w:val="22"/>
          <w:szCs w:val="22"/>
          <w:lang w:val="es-ES"/>
        </w:rPr>
        <w:t>g)</w:t>
      </w:r>
      <w:r w:rsidRPr="001437A5">
        <w:rPr>
          <w:sz w:val="22"/>
          <w:szCs w:val="22"/>
          <w:lang w:val="es-ES"/>
        </w:rPr>
        <w:tab/>
        <w:t>Instrument</w:t>
      </w:r>
      <w:r w:rsidR="002C2195" w:rsidRPr="001437A5">
        <w:rPr>
          <w:sz w:val="22"/>
          <w:szCs w:val="22"/>
          <w:lang w:val="es-ES"/>
        </w:rPr>
        <w:t>o de ayuda en material de seguridad y protección nucleares [Reglamento (CE) n</w:t>
      </w:r>
      <w:r w:rsidR="002F7D00">
        <w:rPr>
          <w:sz w:val="22"/>
          <w:szCs w:val="22"/>
          <w:lang w:val="es-ES"/>
        </w:rPr>
        <w:t>.</w:t>
      </w:r>
      <w:r w:rsidR="002C2195" w:rsidRPr="001437A5">
        <w:rPr>
          <w:sz w:val="22"/>
          <w:szCs w:val="22"/>
          <w:lang w:val="es-ES"/>
        </w:rPr>
        <w:t>º </w:t>
      </w:r>
      <w:r w:rsidR="00481783" w:rsidRPr="001437A5">
        <w:rPr>
          <w:sz w:val="22"/>
          <w:szCs w:val="22"/>
          <w:lang w:val="es-ES"/>
        </w:rPr>
        <w:t xml:space="preserve">300/2007 - </w:t>
      </w:r>
      <w:r w:rsidR="002C2195" w:rsidRPr="001437A5">
        <w:rPr>
          <w:sz w:val="22"/>
          <w:szCs w:val="22"/>
          <w:lang w:val="es-ES"/>
        </w:rPr>
        <w:t>D</w:t>
      </w:r>
      <w:r w:rsidR="00481783" w:rsidRPr="001437A5">
        <w:rPr>
          <w:sz w:val="22"/>
          <w:szCs w:val="22"/>
          <w:lang w:val="es-ES"/>
        </w:rPr>
        <w:t xml:space="preserve">O L 81 </w:t>
      </w:r>
      <w:r w:rsidR="002C2195" w:rsidRPr="001437A5">
        <w:rPr>
          <w:sz w:val="22"/>
          <w:szCs w:val="22"/>
          <w:lang w:val="es-ES"/>
        </w:rPr>
        <w:t>de</w:t>
      </w:r>
      <w:r w:rsidR="00481783" w:rsidRPr="001437A5">
        <w:rPr>
          <w:sz w:val="22"/>
          <w:szCs w:val="22"/>
          <w:lang w:val="es-ES"/>
        </w:rPr>
        <w:t xml:space="preserve"> 22.3.2007</w:t>
      </w:r>
      <w:r w:rsidR="002F7D00">
        <w:rPr>
          <w:sz w:val="22"/>
          <w:szCs w:val="22"/>
          <w:lang w:val="es-ES"/>
        </w:rPr>
        <w:t>, p. 1</w:t>
      </w:r>
      <w:r w:rsidR="002C2195" w:rsidRPr="001437A5">
        <w:rPr>
          <w:sz w:val="22"/>
          <w:szCs w:val="22"/>
          <w:lang w:val="es-ES"/>
        </w:rPr>
        <w:t>]</w:t>
      </w:r>
      <w:r w:rsidRPr="001437A5">
        <w:rPr>
          <w:sz w:val="22"/>
          <w:szCs w:val="22"/>
          <w:lang w:val="es-ES"/>
        </w:rPr>
        <w:t>.</w:t>
      </w:r>
    </w:p>
    <w:p w:rsidR="000049C8" w:rsidRPr="001437A5" w:rsidRDefault="002C2195" w:rsidP="00976287">
      <w:pPr>
        <w:numPr>
          <w:ilvl w:val="0"/>
          <w:numId w:val="5"/>
        </w:numPr>
        <w:tabs>
          <w:tab w:val="clear" w:pos="720"/>
          <w:tab w:val="num" w:pos="540"/>
        </w:tabs>
        <w:autoSpaceDE w:val="0"/>
        <w:autoSpaceDN w:val="0"/>
        <w:adjustRightInd w:val="0"/>
        <w:spacing w:before="120" w:after="120"/>
        <w:ind w:left="540" w:hanging="540"/>
        <w:jc w:val="both"/>
        <w:rPr>
          <w:sz w:val="22"/>
          <w:szCs w:val="22"/>
          <w:lang w:val="es-ES"/>
        </w:rPr>
      </w:pPr>
      <w:r w:rsidRPr="001437A5">
        <w:rPr>
          <w:sz w:val="22"/>
          <w:szCs w:val="22"/>
          <w:lang w:val="es-ES"/>
        </w:rPr>
        <w:t xml:space="preserve">Estos nuevos instrumentos </w:t>
      </w:r>
      <w:r w:rsidR="001244FF">
        <w:rPr>
          <w:sz w:val="22"/>
          <w:szCs w:val="22"/>
          <w:lang w:val="es-ES"/>
        </w:rPr>
        <w:t>son aplicables</w:t>
      </w:r>
      <w:r w:rsidRPr="001437A5">
        <w:rPr>
          <w:sz w:val="22"/>
          <w:szCs w:val="22"/>
          <w:lang w:val="es-ES"/>
        </w:rPr>
        <w:t xml:space="preserve"> del 1.1.2007 al 31.12.2013.</w:t>
      </w:r>
    </w:p>
    <w:p w:rsidR="000049C8" w:rsidRPr="001437A5" w:rsidRDefault="002C2195" w:rsidP="00976287">
      <w:pPr>
        <w:numPr>
          <w:ilvl w:val="0"/>
          <w:numId w:val="5"/>
        </w:numPr>
        <w:tabs>
          <w:tab w:val="clear" w:pos="720"/>
          <w:tab w:val="num" w:pos="540"/>
        </w:tabs>
        <w:autoSpaceDE w:val="0"/>
        <w:autoSpaceDN w:val="0"/>
        <w:adjustRightInd w:val="0"/>
        <w:spacing w:before="120" w:after="120"/>
        <w:ind w:left="540" w:hanging="540"/>
        <w:jc w:val="both"/>
        <w:rPr>
          <w:sz w:val="22"/>
          <w:szCs w:val="22"/>
          <w:lang w:val="es-ES"/>
        </w:rPr>
      </w:pPr>
      <w:r w:rsidRPr="001437A5">
        <w:rPr>
          <w:sz w:val="22"/>
          <w:szCs w:val="22"/>
          <w:lang w:val="es-ES"/>
        </w:rPr>
        <w:t xml:space="preserve">Cada uno de ellos integra las disposiciones de los </w:t>
      </w:r>
      <w:r w:rsidR="002F7D00">
        <w:rPr>
          <w:sz w:val="22"/>
          <w:szCs w:val="22"/>
          <w:lang w:val="es-ES"/>
        </w:rPr>
        <w:t>R</w:t>
      </w:r>
      <w:r w:rsidRPr="001437A5">
        <w:rPr>
          <w:sz w:val="22"/>
          <w:szCs w:val="22"/>
          <w:lang w:val="es-ES"/>
        </w:rPr>
        <w:t xml:space="preserve">eglamentos de desvinculación de la ayuda (diciembre </w:t>
      </w:r>
      <w:r w:rsidR="00CA074E">
        <w:rPr>
          <w:sz w:val="22"/>
          <w:szCs w:val="22"/>
          <w:lang w:val="es-ES"/>
        </w:rPr>
        <w:t xml:space="preserve">de </w:t>
      </w:r>
      <w:r w:rsidRPr="001437A5">
        <w:rPr>
          <w:sz w:val="22"/>
          <w:szCs w:val="22"/>
          <w:lang w:val="es-ES"/>
        </w:rPr>
        <w:t xml:space="preserve">2005), que </w:t>
      </w:r>
      <w:r w:rsidR="00CA074E">
        <w:rPr>
          <w:sz w:val="22"/>
          <w:szCs w:val="22"/>
          <w:lang w:val="es-ES"/>
        </w:rPr>
        <w:t>son</w:t>
      </w:r>
      <w:r w:rsidRPr="001437A5">
        <w:rPr>
          <w:sz w:val="22"/>
          <w:szCs w:val="22"/>
          <w:lang w:val="es-ES"/>
        </w:rPr>
        <w:t xml:space="preserve"> </w:t>
      </w:r>
      <w:r w:rsidR="00CA074E">
        <w:rPr>
          <w:sz w:val="22"/>
          <w:szCs w:val="22"/>
          <w:lang w:val="es-ES"/>
        </w:rPr>
        <w:t>sustitui</w:t>
      </w:r>
      <w:r w:rsidRPr="001437A5">
        <w:rPr>
          <w:sz w:val="22"/>
          <w:szCs w:val="22"/>
          <w:lang w:val="es-ES"/>
        </w:rPr>
        <w:t xml:space="preserve">dos por los nuevos instrumentos, conforme al respectivo </w:t>
      </w:r>
      <w:r w:rsidR="00CA074E">
        <w:rPr>
          <w:sz w:val="22"/>
          <w:szCs w:val="22"/>
          <w:lang w:val="es-ES"/>
        </w:rPr>
        <w:t>ámbito</w:t>
      </w:r>
      <w:r w:rsidRPr="001437A5">
        <w:rPr>
          <w:sz w:val="22"/>
          <w:szCs w:val="22"/>
          <w:lang w:val="es-ES"/>
        </w:rPr>
        <w:t xml:space="preserve"> de aplicación geográfico de los </w:t>
      </w:r>
      <w:r w:rsidR="00CA074E">
        <w:rPr>
          <w:sz w:val="22"/>
          <w:szCs w:val="22"/>
          <w:lang w:val="es-ES"/>
        </w:rPr>
        <w:t>sectores</w:t>
      </w:r>
      <w:r w:rsidRPr="001437A5">
        <w:rPr>
          <w:sz w:val="22"/>
          <w:szCs w:val="22"/>
          <w:lang w:val="es-ES"/>
        </w:rPr>
        <w:t xml:space="preserve"> de cooperación cubiertos.</w:t>
      </w:r>
    </w:p>
    <w:p w:rsidR="0012042E" w:rsidRPr="001437A5" w:rsidRDefault="00C35864" w:rsidP="00976287">
      <w:pPr>
        <w:numPr>
          <w:ilvl w:val="0"/>
          <w:numId w:val="5"/>
        </w:numPr>
        <w:tabs>
          <w:tab w:val="clear" w:pos="720"/>
          <w:tab w:val="num" w:pos="540"/>
        </w:tabs>
        <w:autoSpaceDE w:val="0"/>
        <w:autoSpaceDN w:val="0"/>
        <w:adjustRightInd w:val="0"/>
        <w:spacing w:before="120" w:after="120"/>
        <w:ind w:left="539" w:hanging="539"/>
        <w:jc w:val="both"/>
        <w:rPr>
          <w:sz w:val="22"/>
          <w:szCs w:val="22"/>
          <w:lang w:val="es-ES"/>
        </w:rPr>
      </w:pPr>
      <w:r w:rsidRPr="001437A5">
        <w:rPr>
          <w:sz w:val="22"/>
          <w:szCs w:val="22"/>
          <w:lang w:val="es-ES"/>
        </w:rPr>
        <w:t>El marco legal del Décimo FED es el siguiente:</w:t>
      </w:r>
      <w:r w:rsidR="00F02E7F" w:rsidRPr="001437A5">
        <w:rPr>
          <w:sz w:val="22"/>
          <w:szCs w:val="22"/>
          <w:lang w:val="es-ES"/>
        </w:rPr>
        <w:t xml:space="preserve"> </w:t>
      </w:r>
    </w:p>
    <w:p w:rsidR="0012042E" w:rsidRPr="001437A5" w:rsidRDefault="0012042E" w:rsidP="00A61B52">
      <w:pPr>
        <w:autoSpaceDE w:val="0"/>
        <w:autoSpaceDN w:val="0"/>
        <w:adjustRightInd w:val="0"/>
        <w:spacing w:after="60"/>
        <w:ind w:left="993" w:hanging="284"/>
        <w:jc w:val="both"/>
        <w:rPr>
          <w:sz w:val="22"/>
          <w:szCs w:val="22"/>
          <w:lang w:val="es-ES"/>
        </w:rPr>
      </w:pPr>
      <w:r w:rsidRPr="001437A5">
        <w:rPr>
          <w:sz w:val="22"/>
          <w:szCs w:val="22"/>
          <w:lang w:val="es-ES"/>
        </w:rPr>
        <w:t>-</w:t>
      </w:r>
      <w:r w:rsidR="00830BA8" w:rsidRPr="001437A5">
        <w:rPr>
          <w:sz w:val="22"/>
          <w:szCs w:val="22"/>
          <w:lang w:val="es-ES"/>
        </w:rPr>
        <w:t xml:space="preserve"> </w:t>
      </w:r>
      <w:r w:rsidR="00C1621D" w:rsidRPr="001437A5">
        <w:rPr>
          <w:sz w:val="22"/>
          <w:szCs w:val="22"/>
          <w:lang w:val="es-ES"/>
        </w:rPr>
        <w:tab/>
      </w:r>
      <w:r w:rsidR="00C35864" w:rsidRPr="001437A5">
        <w:rPr>
          <w:sz w:val="22"/>
          <w:szCs w:val="22"/>
          <w:lang w:val="es-ES"/>
        </w:rPr>
        <w:t xml:space="preserve">Acuerdo interno en relación con el marco financiero para el periodo </w:t>
      </w:r>
      <w:r w:rsidRPr="001437A5">
        <w:rPr>
          <w:sz w:val="22"/>
          <w:szCs w:val="22"/>
          <w:lang w:val="es-ES"/>
        </w:rPr>
        <w:t>2008 – 2013 (</w:t>
      </w:r>
      <w:r w:rsidR="00C35864" w:rsidRPr="001437A5">
        <w:rPr>
          <w:sz w:val="22"/>
          <w:szCs w:val="22"/>
          <w:lang w:val="es-ES"/>
        </w:rPr>
        <w:t>D</w:t>
      </w:r>
      <w:r w:rsidR="00A61B52">
        <w:rPr>
          <w:sz w:val="22"/>
          <w:szCs w:val="22"/>
          <w:lang w:val="es-ES"/>
        </w:rPr>
        <w:t>O L </w:t>
      </w:r>
      <w:r w:rsidRPr="001437A5">
        <w:rPr>
          <w:sz w:val="22"/>
          <w:szCs w:val="22"/>
          <w:lang w:val="es-ES"/>
        </w:rPr>
        <w:t xml:space="preserve">247 </w:t>
      </w:r>
      <w:r w:rsidR="00C35864" w:rsidRPr="001437A5">
        <w:rPr>
          <w:sz w:val="22"/>
          <w:szCs w:val="22"/>
          <w:lang w:val="es-ES"/>
        </w:rPr>
        <w:t>de</w:t>
      </w:r>
      <w:r w:rsidRPr="001437A5">
        <w:rPr>
          <w:sz w:val="22"/>
          <w:szCs w:val="22"/>
          <w:lang w:val="es-ES"/>
        </w:rPr>
        <w:t xml:space="preserve"> 9.9.2006</w:t>
      </w:r>
      <w:r w:rsidR="002F7D00">
        <w:rPr>
          <w:sz w:val="22"/>
          <w:szCs w:val="22"/>
          <w:lang w:val="es-ES"/>
        </w:rPr>
        <w:t>, p. 32</w:t>
      </w:r>
      <w:r w:rsidRPr="001437A5">
        <w:rPr>
          <w:sz w:val="22"/>
          <w:szCs w:val="22"/>
          <w:lang w:val="es-ES"/>
        </w:rPr>
        <w:t>);</w:t>
      </w:r>
    </w:p>
    <w:p w:rsidR="00830BA8" w:rsidRPr="001437A5" w:rsidRDefault="0012042E" w:rsidP="00776F45">
      <w:pPr>
        <w:autoSpaceDE w:val="0"/>
        <w:autoSpaceDN w:val="0"/>
        <w:adjustRightInd w:val="0"/>
        <w:spacing w:after="60"/>
        <w:ind w:left="993" w:hanging="284"/>
        <w:jc w:val="both"/>
        <w:rPr>
          <w:sz w:val="22"/>
          <w:szCs w:val="22"/>
          <w:lang w:val="es-ES"/>
        </w:rPr>
      </w:pPr>
      <w:r w:rsidRPr="001437A5">
        <w:rPr>
          <w:sz w:val="22"/>
          <w:szCs w:val="22"/>
          <w:lang w:val="es-ES"/>
        </w:rPr>
        <w:lastRenderedPageBreak/>
        <w:t>-</w:t>
      </w:r>
      <w:r w:rsidR="00C1621D" w:rsidRPr="001437A5">
        <w:rPr>
          <w:sz w:val="22"/>
          <w:szCs w:val="22"/>
          <w:lang w:val="es-ES"/>
        </w:rPr>
        <w:tab/>
      </w:r>
      <w:r w:rsidR="00C35864" w:rsidRPr="001437A5">
        <w:rPr>
          <w:sz w:val="22"/>
          <w:szCs w:val="22"/>
          <w:lang w:val="es-ES"/>
        </w:rPr>
        <w:t xml:space="preserve">Reglamento del Consejo (CE) </w:t>
      </w:r>
      <w:r w:rsidR="002F7D00">
        <w:rPr>
          <w:sz w:val="22"/>
          <w:szCs w:val="22"/>
          <w:lang w:val="es-ES"/>
        </w:rPr>
        <w:t>n.º</w:t>
      </w:r>
      <w:r w:rsidR="00C35864" w:rsidRPr="001437A5">
        <w:rPr>
          <w:sz w:val="22"/>
          <w:szCs w:val="22"/>
          <w:lang w:val="es-ES"/>
        </w:rPr>
        <w:t> 617/2007 de 1</w:t>
      </w:r>
      <w:r w:rsidR="00CA074E">
        <w:rPr>
          <w:sz w:val="22"/>
          <w:szCs w:val="22"/>
          <w:lang w:val="es-ES"/>
        </w:rPr>
        <w:t>4</w:t>
      </w:r>
      <w:r w:rsidR="00C35864" w:rsidRPr="001437A5">
        <w:rPr>
          <w:sz w:val="22"/>
          <w:szCs w:val="22"/>
          <w:lang w:val="es-ES"/>
        </w:rPr>
        <w:t xml:space="preserve"> de</w:t>
      </w:r>
      <w:r w:rsidRPr="001437A5">
        <w:rPr>
          <w:sz w:val="22"/>
          <w:szCs w:val="22"/>
          <w:lang w:val="es-ES"/>
        </w:rPr>
        <w:t xml:space="preserve"> </w:t>
      </w:r>
      <w:r w:rsidR="00C35864" w:rsidRPr="001437A5">
        <w:rPr>
          <w:sz w:val="22"/>
          <w:szCs w:val="22"/>
          <w:lang w:val="es-ES"/>
        </w:rPr>
        <w:t>m</w:t>
      </w:r>
      <w:r w:rsidRPr="001437A5">
        <w:rPr>
          <w:sz w:val="22"/>
          <w:szCs w:val="22"/>
          <w:lang w:val="es-ES"/>
        </w:rPr>
        <w:t>ay</w:t>
      </w:r>
      <w:r w:rsidR="00C35864" w:rsidRPr="001437A5">
        <w:rPr>
          <w:sz w:val="22"/>
          <w:szCs w:val="22"/>
          <w:lang w:val="es-ES"/>
        </w:rPr>
        <w:t>o de</w:t>
      </w:r>
      <w:r w:rsidRPr="001437A5">
        <w:rPr>
          <w:sz w:val="22"/>
          <w:szCs w:val="22"/>
          <w:lang w:val="es-ES"/>
        </w:rPr>
        <w:t xml:space="preserve"> 2007</w:t>
      </w:r>
      <w:r w:rsidR="00C35864" w:rsidRPr="001437A5">
        <w:rPr>
          <w:sz w:val="22"/>
          <w:szCs w:val="22"/>
          <w:lang w:val="es-ES"/>
        </w:rPr>
        <w:t xml:space="preserve">, sobre la aplicación del </w:t>
      </w:r>
      <w:r w:rsidR="00CA074E">
        <w:rPr>
          <w:sz w:val="22"/>
          <w:szCs w:val="22"/>
          <w:lang w:val="es-ES"/>
        </w:rPr>
        <w:t>d</w:t>
      </w:r>
      <w:r w:rsidR="00C35864" w:rsidRPr="001437A5">
        <w:rPr>
          <w:sz w:val="22"/>
          <w:szCs w:val="22"/>
          <w:lang w:val="es-ES"/>
        </w:rPr>
        <w:t xml:space="preserve">écimo Fondo Europeo de Desarrollo con arreglo al Acuerdo de Asociación ACP-CE </w:t>
      </w:r>
      <w:r w:rsidRPr="001437A5">
        <w:rPr>
          <w:sz w:val="22"/>
          <w:szCs w:val="22"/>
          <w:lang w:val="es-ES"/>
        </w:rPr>
        <w:t>(</w:t>
      </w:r>
      <w:r w:rsidR="00C35864" w:rsidRPr="001437A5">
        <w:rPr>
          <w:sz w:val="22"/>
          <w:szCs w:val="22"/>
          <w:lang w:val="es-ES"/>
        </w:rPr>
        <w:t>D</w:t>
      </w:r>
      <w:r w:rsidRPr="001437A5">
        <w:rPr>
          <w:sz w:val="22"/>
          <w:szCs w:val="22"/>
          <w:lang w:val="es-ES"/>
        </w:rPr>
        <w:t>O L</w:t>
      </w:r>
      <w:r w:rsidR="002F7D00">
        <w:rPr>
          <w:sz w:val="22"/>
          <w:szCs w:val="22"/>
          <w:lang w:val="es-ES"/>
        </w:rPr>
        <w:t> </w:t>
      </w:r>
      <w:r w:rsidRPr="001437A5">
        <w:rPr>
          <w:sz w:val="22"/>
          <w:szCs w:val="22"/>
          <w:lang w:val="es-ES"/>
        </w:rPr>
        <w:t xml:space="preserve">152 </w:t>
      </w:r>
      <w:r w:rsidR="00C35864" w:rsidRPr="001437A5">
        <w:rPr>
          <w:sz w:val="22"/>
          <w:szCs w:val="22"/>
          <w:lang w:val="es-ES"/>
        </w:rPr>
        <w:t>de</w:t>
      </w:r>
      <w:r w:rsidRPr="001437A5">
        <w:rPr>
          <w:sz w:val="22"/>
          <w:szCs w:val="22"/>
          <w:lang w:val="es-ES"/>
        </w:rPr>
        <w:t xml:space="preserve"> 13.6.2007</w:t>
      </w:r>
      <w:r w:rsidR="002F7D00">
        <w:rPr>
          <w:sz w:val="22"/>
          <w:szCs w:val="22"/>
          <w:lang w:val="es-ES"/>
        </w:rPr>
        <w:t>, p. 1</w:t>
      </w:r>
      <w:r w:rsidRPr="001437A5">
        <w:rPr>
          <w:sz w:val="22"/>
          <w:szCs w:val="22"/>
          <w:lang w:val="es-ES"/>
        </w:rPr>
        <w:t>)</w:t>
      </w:r>
      <w:r w:rsidR="00C35864" w:rsidRPr="001437A5">
        <w:rPr>
          <w:sz w:val="22"/>
          <w:szCs w:val="22"/>
          <w:lang w:val="es-ES"/>
        </w:rPr>
        <w:t>;</w:t>
      </w:r>
    </w:p>
    <w:p w:rsidR="00475D6B" w:rsidRPr="001437A5" w:rsidRDefault="00517B53" w:rsidP="00776F45">
      <w:pPr>
        <w:autoSpaceDE w:val="0"/>
        <w:autoSpaceDN w:val="0"/>
        <w:adjustRightInd w:val="0"/>
        <w:spacing w:after="60"/>
        <w:ind w:left="993" w:hanging="284"/>
        <w:jc w:val="both"/>
        <w:rPr>
          <w:sz w:val="22"/>
          <w:szCs w:val="22"/>
          <w:lang w:val="es-ES"/>
        </w:rPr>
      </w:pPr>
      <w:r w:rsidRPr="001437A5">
        <w:rPr>
          <w:sz w:val="22"/>
          <w:szCs w:val="22"/>
          <w:lang w:val="es-ES"/>
        </w:rPr>
        <w:t>-</w:t>
      </w:r>
      <w:r w:rsidR="00C1621D" w:rsidRPr="001437A5">
        <w:rPr>
          <w:sz w:val="22"/>
          <w:szCs w:val="22"/>
          <w:lang w:val="es-ES"/>
        </w:rPr>
        <w:tab/>
      </w:r>
      <w:r w:rsidR="00CA074E" w:rsidRPr="00CA074E">
        <w:rPr>
          <w:sz w:val="22"/>
          <w:szCs w:val="22"/>
          <w:lang w:val="es-ES"/>
        </w:rPr>
        <w:t>Reglamento (CE) n°</w:t>
      </w:r>
      <w:r w:rsidR="00CA074E">
        <w:rPr>
          <w:sz w:val="22"/>
          <w:szCs w:val="22"/>
          <w:lang w:val="es-ES"/>
        </w:rPr>
        <w:t> </w:t>
      </w:r>
      <w:r w:rsidR="00CA074E" w:rsidRPr="00CA074E">
        <w:rPr>
          <w:sz w:val="22"/>
          <w:szCs w:val="22"/>
          <w:lang w:val="es-ES"/>
        </w:rPr>
        <w:t xml:space="preserve">215/2008 del Consejo, de 18 de febrero de </w:t>
      </w:r>
      <w:r w:rsidR="00E334C9" w:rsidRPr="00CA074E">
        <w:rPr>
          <w:sz w:val="22"/>
          <w:szCs w:val="22"/>
          <w:lang w:val="es-ES"/>
        </w:rPr>
        <w:t>2008,</w:t>
      </w:r>
      <w:r w:rsidR="00CA074E" w:rsidRPr="00CA074E">
        <w:rPr>
          <w:sz w:val="22"/>
          <w:szCs w:val="22"/>
          <w:lang w:val="es-ES"/>
        </w:rPr>
        <w:t xml:space="preserve"> por el que se aprueba el Reglamento financiero aplicable al décimo Fondo Europeo de Desarrollo</w:t>
      </w:r>
      <w:r w:rsidRPr="001437A5">
        <w:rPr>
          <w:sz w:val="22"/>
          <w:szCs w:val="22"/>
          <w:lang w:val="es-ES"/>
        </w:rPr>
        <w:t xml:space="preserve"> (</w:t>
      </w:r>
      <w:r w:rsidR="00C35864" w:rsidRPr="001437A5">
        <w:rPr>
          <w:sz w:val="22"/>
          <w:szCs w:val="22"/>
          <w:lang w:val="es-ES"/>
        </w:rPr>
        <w:t>D</w:t>
      </w:r>
      <w:r w:rsidRPr="001437A5">
        <w:rPr>
          <w:sz w:val="22"/>
          <w:szCs w:val="22"/>
          <w:lang w:val="es-ES"/>
        </w:rPr>
        <w:t>O L</w:t>
      </w:r>
      <w:r w:rsidR="002F7D00">
        <w:rPr>
          <w:sz w:val="22"/>
          <w:szCs w:val="22"/>
          <w:lang w:val="es-ES"/>
        </w:rPr>
        <w:t xml:space="preserve"> </w:t>
      </w:r>
      <w:r w:rsidRPr="001437A5">
        <w:rPr>
          <w:sz w:val="22"/>
          <w:szCs w:val="22"/>
          <w:lang w:val="es-ES"/>
        </w:rPr>
        <w:t xml:space="preserve">78 </w:t>
      </w:r>
      <w:r w:rsidR="00C35864" w:rsidRPr="001437A5">
        <w:rPr>
          <w:sz w:val="22"/>
          <w:szCs w:val="22"/>
          <w:lang w:val="es-ES"/>
        </w:rPr>
        <w:t>de</w:t>
      </w:r>
      <w:r w:rsidRPr="001437A5">
        <w:rPr>
          <w:sz w:val="22"/>
          <w:szCs w:val="22"/>
          <w:lang w:val="es-ES"/>
        </w:rPr>
        <w:t xml:space="preserve"> 19</w:t>
      </w:r>
      <w:r w:rsidR="00C35864" w:rsidRPr="001437A5">
        <w:rPr>
          <w:sz w:val="22"/>
          <w:szCs w:val="22"/>
          <w:lang w:val="es-ES"/>
        </w:rPr>
        <w:t>.3.</w:t>
      </w:r>
      <w:r w:rsidRPr="001437A5">
        <w:rPr>
          <w:sz w:val="22"/>
          <w:szCs w:val="22"/>
          <w:lang w:val="es-ES"/>
        </w:rPr>
        <w:t>2008)</w:t>
      </w:r>
      <w:r w:rsidR="00C1621D" w:rsidRPr="001437A5">
        <w:rPr>
          <w:sz w:val="22"/>
          <w:szCs w:val="22"/>
          <w:lang w:val="es-ES"/>
        </w:rPr>
        <w:t>.</w:t>
      </w:r>
    </w:p>
    <w:p w:rsidR="00170571" w:rsidRPr="001437A5" w:rsidRDefault="00170571" w:rsidP="00976287">
      <w:pPr>
        <w:tabs>
          <w:tab w:val="left" w:pos="1701"/>
        </w:tabs>
        <w:spacing w:before="120" w:after="120"/>
        <w:jc w:val="both"/>
        <w:rPr>
          <w:b/>
          <w:szCs w:val="24"/>
          <w:lang w:val="es-ES"/>
        </w:rPr>
      </w:pPr>
      <w:r w:rsidRPr="001437A5">
        <w:rPr>
          <w:b/>
          <w:szCs w:val="24"/>
          <w:lang w:val="es-ES"/>
        </w:rPr>
        <w:t>Instrument</w:t>
      </w:r>
      <w:r w:rsidR="0088093F" w:rsidRPr="001437A5">
        <w:rPr>
          <w:b/>
          <w:szCs w:val="24"/>
          <w:lang w:val="es-ES"/>
        </w:rPr>
        <w:t>o</w:t>
      </w:r>
      <w:r w:rsidRPr="001437A5">
        <w:rPr>
          <w:b/>
          <w:szCs w:val="24"/>
          <w:lang w:val="es-ES"/>
        </w:rPr>
        <w:t xml:space="preserve">s </w:t>
      </w:r>
      <w:r w:rsidR="00CA074E">
        <w:rPr>
          <w:b/>
          <w:szCs w:val="24"/>
          <w:lang w:val="es-ES"/>
        </w:rPr>
        <w:t>para las acciones exteriores</w:t>
      </w:r>
      <w:r w:rsidR="0088093F" w:rsidRPr="001437A5">
        <w:rPr>
          <w:b/>
          <w:szCs w:val="24"/>
          <w:lang w:val="es-ES"/>
        </w:rPr>
        <w:t xml:space="preserve"> que entraron en vigor antes de </w:t>
      </w:r>
      <w:r w:rsidRPr="001437A5">
        <w:rPr>
          <w:b/>
          <w:szCs w:val="24"/>
          <w:lang w:val="es-ES"/>
        </w:rPr>
        <w:t>2007:</w:t>
      </w:r>
    </w:p>
    <w:p w:rsidR="000049C8" w:rsidRPr="001437A5" w:rsidRDefault="0088093F" w:rsidP="00976287">
      <w:pPr>
        <w:tabs>
          <w:tab w:val="left" w:pos="1701"/>
        </w:tabs>
        <w:spacing w:before="120" w:after="120"/>
        <w:jc w:val="both"/>
        <w:rPr>
          <w:sz w:val="22"/>
          <w:szCs w:val="22"/>
          <w:lang w:val="es-ES"/>
        </w:rPr>
      </w:pPr>
      <w:r w:rsidRPr="001437A5">
        <w:rPr>
          <w:sz w:val="22"/>
          <w:szCs w:val="22"/>
          <w:lang w:val="es-ES"/>
        </w:rPr>
        <w:t>La Comisión Europea adoptó en diciembre de 2005 dos reglamentos sobre el acceso a la ayuda exterior comunitaria que estableci</w:t>
      </w:r>
      <w:r w:rsidR="00CA074E">
        <w:rPr>
          <w:sz w:val="22"/>
          <w:szCs w:val="22"/>
          <w:lang w:val="es-ES"/>
        </w:rPr>
        <w:t>eron</w:t>
      </w:r>
      <w:r w:rsidRPr="001437A5">
        <w:rPr>
          <w:sz w:val="22"/>
          <w:szCs w:val="22"/>
          <w:lang w:val="es-ES"/>
        </w:rPr>
        <w:t xml:space="preserve"> un nivel de desvinculación sin precedentes </w:t>
      </w:r>
      <w:r w:rsidR="00CC24EA">
        <w:rPr>
          <w:sz w:val="22"/>
          <w:szCs w:val="22"/>
          <w:lang w:val="es-ES"/>
        </w:rPr>
        <w:t>para las acciones</w:t>
      </w:r>
      <w:r w:rsidRPr="001437A5">
        <w:rPr>
          <w:sz w:val="22"/>
          <w:szCs w:val="22"/>
          <w:lang w:val="es-ES"/>
        </w:rPr>
        <w:t xml:space="preserve"> financiada</w:t>
      </w:r>
      <w:r w:rsidR="00CC24EA">
        <w:rPr>
          <w:sz w:val="22"/>
          <w:szCs w:val="22"/>
          <w:lang w:val="es-ES"/>
        </w:rPr>
        <w:t>s</w:t>
      </w:r>
      <w:r w:rsidRPr="001437A5">
        <w:rPr>
          <w:sz w:val="22"/>
          <w:szCs w:val="22"/>
          <w:lang w:val="es-ES"/>
        </w:rPr>
        <w:t xml:space="preserve"> por el presupuesto general. Estos reglamentos entraron en vigor el 28 de diciembre de 2005 y modificaron los instrumentos de ámbito temático y geográfico (ver ficha temática</w:t>
      </w:r>
      <w:r w:rsidR="00CC24EA">
        <w:rPr>
          <w:sz w:val="22"/>
          <w:szCs w:val="22"/>
          <w:lang w:val="es-ES"/>
        </w:rPr>
        <w:t xml:space="preserve"> en la rúbrica «archivos»</w:t>
      </w:r>
      <w:r w:rsidRPr="001437A5">
        <w:rPr>
          <w:sz w:val="22"/>
          <w:szCs w:val="22"/>
          <w:lang w:val="es-ES"/>
        </w:rPr>
        <w:t>)</w:t>
      </w:r>
      <w:r w:rsidR="00CC24EA">
        <w:rPr>
          <w:sz w:val="22"/>
          <w:szCs w:val="22"/>
          <w:lang w:val="es-ES"/>
        </w:rPr>
        <w:t>.</w:t>
      </w:r>
    </w:p>
    <w:p w:rsidR="00860034" w:rsidRPr="001437A5" w:rsidRDefault="00CC24EA" w:rsidP="00976287">
      <w:pPr>
        <w:keepNext/>
        <w:keepLines/>
        <w:tabs>
          <w:tab w:val="left" w:pos="1701"/>
        </w:tabs>
        <w:spacing w:before="120" w:after="120"/>
        <w:jc w:val="both"/>
        <w:rPr>
          <w:b/>
          <w:i/>
          <w:sz w:val="22"/>
          <w:szCs w:val="22"/>
          <w:lang w:val="es-ES"/>
        </w:rPr>
      </w:pPr>
      <w:r>
        <w:rPr>
          <w:b/>
          <w:i/>
          <w:sz w:val="22"/>
          <w:szCs w:val="22"/>
          <w:lang w:val="es-ES"/>
        </w:rPr>
        <w:t>R</w:t>
      </w:r>
      <w:r w:rsidR="0088093F" w:rsidRPr="001437A5">
        <w:rPr>
          <w:b/>
          <w:i/>
          <w:sz w:val="22"/>
          <w:szCs w:val="22"/>
          <w:lang w:val="es-ES"/>
        </w:rPr>
        <w:t>eglamentos de desvinculación de la ayuda comunitaria:</w:t>
      </w:r>
    </w:p>
    <w:p w:rsidR="00F02E7F" w:rsidRPr="001437A5" w:rsidRDefault="00170571" w:rsidP="00976287">
      <w:pPr>
        <w:numPr>
          <w:ilvl w:val="0"/>
          <w:numId w:val="7"/>
        </w:numPr>
        <w:spacing w:before="120" w:after="120"/>
        <w:ind w:left="714" w:hanging="357"/>
        <w:rPr>
          <w:sz w:val="22"/>
          <w:szCs w:val="22"/>
          <w:lang w:val="es-ES"/>
        </w:rPr>
      </w:pPr>
      <w:r w:rsidRPr="001437A5">
        <w:rPr>
          <w:bCs/>
          <w:sz w:val="22"/>
          <w:szCs w:val="22"/>
          <w:lang w:val="es-ES"/>
        </w:rPr>
        <w:t>Reg</w:t>
      </w:r>
      <w:r w:rsidR="0088093F" w:rsidRPr="001437A5">
        <w:rPr>
          <w:bCs/>
          <w:sz w:val="22"/>
          <w:szCs w:val="22"/>
          <w:lang w:val="es-ES"/>
        </w:rPr>
        <w:t>lamento</w:t>
      </w:r>
      <w:r w:rsidRPr="001437A5">
        <w:rPr>
          <w:bCs/>
          <w:sz w:val="22"/>
          <w:szCs w:val="22"/>
          <w:lang w:val="es-ES"/>
        </w:rPr>
        <w:t xml:space="preserve"> (</w:t>
      </w:r>
      <w:r w:rsidR="0088093F" w:rsidRPr="001437A5">
        <w:rPr>
          <w:bCs/>
          <w:sz w:val="22"/>
          <w:szCs w:val="22"/>
          <w:lang w:val="es-ES"/>
        </w:rPr>
        <w:t>CE</w:t>
      </w:r>
      <w:r w:rsidRPr="001437A5">
        <w:rPr>
          <w:bCs/>
          <w:sz w:val="22"/>
          <w:szCs w:val="22"/>
          <w:lang w:val="es-ES"/>
        </w:rPr>
        <w:t xml:space="preserve">) </w:t>
      </w:r>
      <w:r w:rsidR="0088093F" w:rsidRPr="001437A5">
        <w:rPr>
          <w:bCs/>
          <w:sz w:val="22"/>
          <w:szCs w:val="22"/>
          <w:lang w:val="es-ES"/>
        </w:rPr>
        <w:t>n</w:t>
      </w:r>
      <w:r w:rsidR="002F7D00">
        <w:rPr>
          <w:bCs/>
          <w:sz w:val="22"/>
          <w:szCs w:val="22"/>
          <w:lang w:val="es-ES"/>
        </w:rPr>
        <w:t>.</w:t>
      </w:r>
      <w:r w:rsidR="0088093F" w:rsidRPr="001437A5">
        <w:rPr>
          <w:bCs/>
          <w:sz w:val="22"/>
          <w:szCs w:val="22"/>
          <w:lang w:val="es-ES"/>
        </w:rPr>
        <w:t>º </w:t>
      </w:r>
      <w:r w:rsidRPr="001437A5">
        <w:rPr>
          <w:bCs/>
          <w:sz w:val="22"/>
          <w:szCs w:val="22"/>
          <w:lang w:val="es-ES"/>
        </w:rPr>
        <w:t xml:space="preserve">2110/2005 </w:t>
      </w:r>
      <w:r w:rsidR="0088093F" w:rsidRPr="001437A5">
        <w:rPr>
          <w:bCs/>
          <w:sz w:val="22"/>
          <w:szCs w:val="22"/>
          <w:lang w:val="es-ES"/>
        </w:rPr>
        <w:t>del Parlamento Europeo y del Consejo</w:t>
      </w:r>
      <w:r w:rsidR="00CC24EA">
        <w:rPr>
          <w:bCs/>
          <w:sz w:val="22"/>
          <w:szCs w:val="22"/>
          <w:lang w:val="es-ES"/>
        </w:rPr>
        <w:t>,</w:t>
      </w:r>
      <w:r w:rsidR="0088093F" w:rsidRPr="001437A5">
        <w:rPr>
          <w:bCs/>
          <w:sz w:val="22"/>
          <w:szCs w:val="22"/>
          <w:lang w:val="es-ES"/>
        </w:rPr>
        <w:t xml:space="preserve"> de</w:t>
      </w:r>
      <w:r w:rsidRPr="001437A5">
        <w:rPr>
          <w:bCs/>
          <w:sz w:val="22"/>
          <w:szCs w:val="22"/>
          <w:lang w:val="es-ES"/>
        </w:rPr>
        <w:t xml:space="preserve"> 14 </w:t>
      </w:r>
      <w:r w:rsidR="0088093F" w:rsidRPr="001437A5">
        <w:rPr>
          <w:bCs/>
          <w:sz w:val="22"/>
          <w:szCs w:val="22"/>
          <w:lang w:val="es-ES"/>
        </w:rPr>
        <w:t xml:space="preserve">de diciembre de </w:t>
      </w:r>
      <w:r w:rsidRPr="001437A5">
        <w:rPr>
          <w:bCs/>
          <w:sz w:val="22"/>
          <w:szCs w:val="22"/>
          <w:lang w:val="es-ES"/>
        </w:rPr>
        <w:t>2005</w:t>
      </w:r>
      <w:r w:rsidR="0088093F" w:rsidRPr="001437A5">
        <w:rPr>
          <w:bCs/>
          <w:sz w:val="22"/>
          <w:szCs w:val="22"/>
          <w:lang w:val="es-ES"/>
        </w:rPr>
        <w:t>, relativo al acceso a la ayuda exterior comunitaria.</w:t>
      </w:r>
    </w:p>
    <w:p w:rsidR="00860034" w:rsidRPr="001437A5" w:rsidRDefault="0088093F" w:rsidP="00987D47">
      <w:pPr>
        <w:numPr>
          <w:ilvl w:val="0"/>
          <w:numId w:val="7"/>
        </w:numPr>
        <w:spacing w:before="120" w:after="120"/>
        <w:rPr>
          <w:sz w:val="22"/>
          <w:szCs w:val="22"/>
          <w:lang w:val="es-ES"/>
        </w:rPr>
      </w:pPr>
      <w:r w:rsidRPr="001437A5">
        <w:rPr>
          <w:bCs/>
          <w:sz w:val="22"/>
          <w:szCs w:val="22"/>
          <w:lang w:val="es-ES"/>
        </w:rPr>
        <w:t>Reglamento (CE) n</w:t>
      </w:r>
      <w:r w:rsidR="002F7D00">
        <w:rPr>
          <w:bCs/>
          <w:sz w:val="22"/>
          <w:szCs w:val="22"/>
          <w:lang w:val="es-ES"/>
        </w:rPr>
        <w:t>.</w:t>
      </w:r>
      <w:r w:rsidRPr="001437A5">
        <w:rPr>
          <w:bCs/>
          <w:sz w:val="22"/>
          <w:szCs w:val="22"/>
          <w:lang w:val="es-ES"/>
        </w:rPr>
        <w:t>º </w:t>
      </w:r>
      <w:r w:rsidR="00860034" w:rsidRPr="001437A5">
        <w:rPr>
          <w:bCs/>
          <w:sz w:val="22"/>
          <w:szCs w:val="22"/>
          <w:lang w:val="es-ES"/>
        </w:rPr>
        <w:t xml:space="preserve">2112/2005 </w:t>
      </w:r>
      <w:r w:rsidRPr="001437A5">
        <w:rPr>
          <w:bCs/>
          <w:sz w:val="22"/>
          <w:szCs w:val="22"/>
          <w:lang w:val="es-ES"/>
        </w:rPr>
        <w:t>del Consejo, de</w:t>
      </w:r>
      <w:r w:rsidR="00860034" w:rsidRPr="001437A5">
        <w:rPr>
          <w:bCs/>
          <w:sz w:val="22"/>
          <w:szCs w:val="22"/>
          <w:lang w:val="es-ES"/>
        </w:rPr>
        <w:t xml:space="preserve"> 21 </w:t>
      </w:r>
      <w:r w:rsidRPr="001437A5">
        <w:rPr>
          <w:bCs/>
          <w:sz w:val="22"/>
          <w:szCs w:val="22"/>
          <w:lang w:val="es-ES"/>
        </w:rPr>
        <w:t>de noviemb</w:t>
      </w:r>
      <w:r w:rsidR="00860034" w:rsidRPr="001437A5">
        <w:rPr>
          <w:bCs/>
          <w:sz w:val="22"/>
          <w:szCs w:val="22"/>
          <w:lang w:val="es-ES"/>
        </w:rPr>
        <w:t>r</w:t>
      </w:r>
      <w:r w:rsidRPr="001437A5">
        <w:rPr>
          <w:bCs/>
          <w:sz w:val="22"/>
          <w:szCs w:val="22"/>
          <w:lang w:val="es-ES"/>
        </w:rPr>
        <w:t>e de</w:t>
      </w:r>
      <w:r w:rsidR="00860034" w:rsidRPr="001437A5">
        <w:rPr>
          <w:bCs/>
          <w:sz w:val="22"/>
          <w:szCs w:val="22"/>
          <w:lang w:val="es-ES"/>
        </w:rPr>
        <w:t xml:space="preserve"> 2005</w:t>
      </w:r>
      <w:r w:rsidRPr="001437A5">
        <w:rPr>
          <w:bCs/>
          <w:sz w:val="22"/>
          <w:szCs w:val="22"/>
          <w:lang w:val="es-ES"/>
        </w:rPr>
        <w:t>, relativo al acceso a la ayuda exterior comunitaria.</w:t>
      </w:r>
    </w:p>
    <w:p w:rsidR="0031151B" w:rsidRPr="001437A5" w:rsidRDefault="0088093F" w:rsidP="00976287">
      <w:pPr>
        <w:tabs>
          <w:tab w:val="left" w:pos="1701"/>
        </w:tabs>
        <w:spacing w:before="120" w:after="120"/>
        <w:jc w:val="both"/>
        <w:rPr>
          <w:sz w:val="22"/>
          <w:szCs w:val="22"/>
          <w:lang w:val="es-ES"/>
        </w:rPr>
      </w:pPr>
      <w:r w:rsidRPr="001437A5">
        <w:rPr>
          <w:sz w:val="22"/>
          <w:szCs w:val="22"/>
          <w:u w:val="single"/>
          <w:lang w:val="es-ES"/>
        </w:rPr>
        <w:t>Instrumentos comunitarios de ámbito temático</w:t>
      </w:r>
    </w:p>
    <w:p w:rsidR="0031151B" w:rsidRPr="001437A5" w:rsidRDefault="00776F45" w:rsidP="00976287">
      <w:pPr>
        <w:tabs>
          <w:tab w:val="left" w:pos="993"/>
        </w:tabs>
        <w:spacing w:before="120" w:after="120"/>
        <w:ind w:left="993" w:hanging="993"/>
        <w:jc w:val="both"/>
        <w:rPr>
          <w:sz w:val="22"/>
          <w:szCs w:val="22"/>
          <w:lang w:val="es-ES"/>
        </w:rPr>
      </w:pPr>
      <w:r w:rsidRPr="001437A5">
        <w:rPr>
          <w:sz w:val="22"/>
          <w:szCs w:val="22"/>
          <w:lang w:val="es-ES"/>
        </w:rPr>
        <w:t>1)</w:t>
      </w:r>
      <w:r w:rsidR="0031151B" w:rsidRPr="001437A5">
        <w:rPr>
          <w:sz w:val="22"/>
          <w:szCs w:val="22"/>
          <w:lang w:val="es-ES"/>
        </w:rPr>
        <w:tab/>
      </w:r>
      <w:r w:rsidR="008B14F4" w:rsidRPr="001437A5">
        <w:rPr>
          <w:sz w:val="22"/>
          <w:szCs w:val="22"/>
          <w:lang w:val="es-ES"/>
        </w:rPr>
        <w:t>Reg</w:t>
      </w:r>
      <w:r w:rsidR="0088093F" w:rsidRPr="001437A5">
        <w:rPr>
          <w:sz w:val="22"/>
          <w:szCs w:val="22"/>
          <w:lang w:val="es-ES"/>
        </w:rPr>
        <w:t>lamento</w:t>
      </w:r>
      <w:r w:rsidR="008B14F4" w:rsidRPr="001437A5">
        <w:rPr>
          <w:sz w:val="22"/>
          <w:szCs w:val="22"/>
          <w:lang w:val="es-ES"/>
        </w:rPr>
        <w:t> (</w:t>
      </w:r>
      <w:r w:rsidR="0088093F" w:rsidRPr="001437A5">
        <w:rPr>
          <w:sz w:val="22"/>
          <w:szCs w:val="22"/>
          <w:lang w:val="es-ES"/>
        </w:rPr>
        <w:t>CE)</w:t>
      </w:r>
      <w:r w:rsidR="008B14F4" w:rsidRPr="001437A5">
        <w:rPr>
          <w:sz w:val="22"/>
          <w:szCs w:val="22"/>
          <w:lang w:val="es-ES"/>
        </w:rPr>
        <w:t xml:space="preserve"> </w:t>
      </w:r>
      <w:r w:rsidR="0088093F" w:rsidRPr="001437A5">
        <w:rPr>
          <w:sz w:val="22"/>
          <w:szCs w:val="22"/>
          <w:lang w:val="es-ES"/>
        </w:rPr>
        <w:t>n</w:t>
      </w:r>
      <w:r w:rsidR="002F7D00">
        <w:rPr>
          <w:sz w:val="22"/>
          <w:szCs w:val="22"/>
          <w:lang w:val="es-ES"/>
        </w:rPr>
        <w:t>.</w:t>
      </w:r>
      <w:r w:rsidR="0088093F" w:rsidRPr="001437A5">
        <w:rPr>
          <w:sz w:val="22"/>
          <w:szCs w:val="22"/>
          <w:lang w:val="es-ES"/>
        </w:rPr>
        <w:t>º </w:t>
      </w:r>
      <w:r w:rsidR="008B14F4" w:rsidRPr="001437A5">
        <w:rPr>
          <w:sz w:val="22"/>
          <w:szCs w:val="22"/>
          <w:lang w:val="es-ES"/>
        </w:rPr>
        <w:t xml:space="preserve">1568/2003 </w:t>
      </w:r>
      <w:r w:rsidR="0088093F" w:rsidRPr="001437A5">
        <w:rPr>
          <w:sz w:val="22"/>
          <w:szCs w:val="22"/>
          <w:lang w:val="es-ES"/>
        </w:rPr>
        <w:t xml:space="preserve">del Parlamento Europeo y del Consejo, de </w:t>
      </w:r>
      <w:r w:rsidR="008B14F4" w:rsidRPr="001437A5">
        <w:rPr>
          <w:sz w:val="22"/>
          <w:szCs w:val="22"/>
          <w:lang w:val="es-ES"/>
        </w:rPr>
        <w:t>15 </w:t>
      </w:r>
      <w:r w:rsidR="0088093F" w:rsidRPr="001437A5">
        <w:rPr>
          <w:sz w:val="22"/>
          <w:szCs w:val="22"/>
          <w:lang w:val="es-ES"/>
        </w:rPr>
        <w:t>de julio de</w:t>
      </w:r>
      <w:r w:rsidR="008B14F4" w:rsidRPr="001437A5">
        <w:rPr>
          <w:sz w:val="22"/>
          <w:szCs w:val="22"/>
          <w:lang w:val="es-ES"/>
        </w:rPr>
        <w:t> 2003</w:t>
      </w:r>
      <w:r w:rsidR="0088093F" w:rsidRPr="001437A5">
        <w:rPr>
          <w:sz w:val="22"/>
          <w:szCs w:val="22"/>
          <w:lang w:val="es-ES"/>
        </w:rPr>
        <w:t>, relativo a la ayuda para la lucha contra enfermedades relacionadas con la pobreza (VIH/sida, tuberculosis y malaria) en los países en desarrollo</w:t>
      </w:r>
      <w:r w:rsidR="008B14F4" w:rsidRPr="001437A5">
        <w:rPr>
          <w:rStyle w:val="FootnoteReference"/>
          <w:sz w:val="22"/>
          <w:szCs w:val="22"/>
          <w:lang w:val="es-ES"/>
        </w:rPr>
        <w:footnoteReference w:id="2"/>
      </w:r>
      <w:r w:rsidR="008B14F4" w:rsidRPr="001437A5">
        <w:rPr>
          <w:sz w:val="22"/>
          <w:szCs w:val="22"/>
          <w:lang w:val="es-ES"/>
        </w:rPr>
        <w:t>, modifi</w:t>
      </w:r>
      <w:r w:rsidR="0088093F" w:rsidRPr="001437A5">
        <w:rPr>
          <w:sz w:val="22"/>
          <w:szCs w:val="22"/>
          <w:lang w:val="es-ES"/>
        </w:rPr>
        <w:t>cado por el Reglamento del Parlamento Europeo y del Consejo relativo al acceso a la ayuda exterior comunitaria.</w:t>
      </w:r>
    </w:p>
    <w:p w:rsidR="0031151B" w:rsidRPr="001437A5" w:rsidRDefault="008B14F4" w:rsidP="00976287">
      <w:pPr>
        <w:tabs>
          <w:tab w:val="left" w:pos="993"/>
        </w:tabs>
        <w:spacing w:before="120" w:after="120"/>
        <w:ind w:left="993" w:hanging="993"/>
        <w:jc w:val="both"/>
        <w:rPr>
          <w:sz w:val="22"/>
          <w:szCs w:val="22"/>
          <w:lang w:val="es-ES"/>
        </w:rPr>
      </w:pPr>
      <w:r w:rsidRPr="001437A5">
        <w:rPr>
          <w:sz w:val="22"/>
          <w:szCs w:val="22"/>
          <w:lang w:val="es-ES"/>
        </w:rPr>
        <w:t>2)</w:t>
      </w:r>
      <w:r w:rsidRPr="001437A5">
        <w:rPr>
          <w:sz w:val="22"/>
          <w:szCs w:val="22"/>
          <w:lang w:val="es-ES"/>
        </w:rPr>
        <w:tab/>
        <w:t>Reg</w:t>
      </w:r>
      <w:r w:rsidR="0088093F" w:rsidRPr="001437A5">
        <w:rPr>
          <w:sz w:val="22"/>
          <w:szCs w:val="22"/>
          <w:lang w:val="es-ES"/>
        </w:rPr>
        <w:t>lamento</w:t>
      </w:r>
      <w:r w:rsidRPr="001437A5">
        <w:rPr>
          <w:sz w:val="22"/>
          <w:szCs w:val="22"/>
          <w:lang w:val="es-ES"/>
        </w:rPr>
        <w:t> (</w:t>
      </w:r>
      <w:r w:rsidR="0088093F" w:rsidRPr="001437A5">
        <w:rPr>
          <w:sz w:val="22"/>
          <w:szCs w:val="22"/>
          <w:lang w:val="es-ES"/>
        </w:rPr>
        <w:t>CE)</w:t>
      </w:r>
      <w:r w:rsidRPr="001437A5">
        <w:rPr>
          <w:sz w:val="22"/>
          <w:szCs w:val="22"/>
          <w:lang w:val="es-ES"/>
        </w:rPr>
        <w:t xml:space="preserve"> </w:t>
      </w:r>
      <w:r w:rsidR="002F7D00">
        <w:rPr>
          <w:sz w:val="22"/>
          <w:szCs w:val="22"/>
          <w:lang w:val="es-ES"/>
        </w:rPr>
        <w:t>n.º</w:t>
      </w:r>
      <w:r w:rsidR="0088093F" w:rsidRPr="001437A5">
        <w:rPr>
          <w:sz w:val="22"/>
          <w:szCs w:val="22"/>
          <w:lang w:val="es-ES"/>
        </w:rPr>
        <w:t> </w:t>
      </w:r>
      <w:r w:rsidRPr="001437A5">
        <w:rPr>
          <w:sz w:val="22"/>
          <w:szCs w:val="22"/>
          <w:lang w:val="es-ES"/>
        </w:rPr>
        <w:t xml:space="preserve">1567/2003 </w:t>
      </w:r>
      <w:r w:rsidR="0088093F" w:rsidRPr="001437A5">
        <w:rPr>
          <w:sz w:val="22"/>
          <w:szCs w:val="22"/>
          <w:lang w:val="es-ES"/>
        </w:rPr>
        <w:t xml:space="preserve">del Parlamento Europeo y del Consejo, de </w:t>
      </w:r>
      <w:r w:rsidRPr="001437A5">
        <w:rPr>
          <w:sz w:val="22"/>
          <w:szCs w:val="22"/>
          <w:lang w:val="es-ES"/>
        </w:rPr>
        <w:t>15 </w:t>
      </w:r>
      <w:r w:rsidR="00987D47">
        <w:rPr>
          <w:sz w:val="22"/>
          <w:szCs w:val="22"/>
          <w:lang w:val="es-ES"/>
        </w:rPr>
        <w:t>de julio de</w:t>
      </w:r>
      <w:r w:rsidRPr="001437A5">
        <w:rPr>
          <w:sz w:val="22"/>
          <w:szCs w:val="22"/>
          <w:lang w:val="es-ES"/>
        </w:rPr>
        <w:t> 2003</w:t>
      </w:r>
      <w:r w:rsidR="0088093F" w:rsidRPr="001437A5">
        <w:rPr>
          <w:sz w:val="22"/>
          <w:szCs w:val="22"/>
          <w:lang w:val="es-ES"/>
        </w:rPr>
        <w:t>, relativo a la ayuda para políticas y acciones sobre la salud y derechos en materia de reproducción y sexualidad en los países en desarrollo</w:t>
      </w:r>
      <w:r w:rsidRPr="001437A5">
        <w:rPr>
          <w:rStyle w:val="FootnoteReference"/>
          <w:color w:val="000000"/>
          <w:sz w:val="22"/>
          <w:szCs w:val="22"/>
          <w:lang w:val="es-ES"/>
        </w:rPr>
        <w:footnoteReference w:id="3"/>
      </w:r>
      <w:r w:rsidR="0031151B" w:rsidRPr="001437A5">
        <w:rPr>
          <w:sz w:val="22"/>
          <w:szCs w:val="22"/>
          <w:lang w:val="es-ES"/>
        </w:rPr>
        <w:t>, modif</w:t>
      </w:r>
      <w:r w:rsidR="0088093F" w:rsidRPr="001437A5">
        <w:rPr>
          <w:sz w:val="22"/>
          <w:szCs w:val="22"/>
          <w:lang w:val="es-ES"/>
        </w:rPr>
        <w:t>icado por el Reglamento del Parlamento Europeo y del Consejo relativo al acceso a la ayuda exterior comunitaria.</w:t>
      </w:r>
    </w:p>
    <w:p w:rsidR="0031151B" w:rsidRPr="001437A5" w:rsidRDefault="008B14F4" w:rsidP="00976287">
      <w:pPr>
        <w:tabs>
          <w:tab w:val="left" w:pos="993"/>
        </w:tabs>
        <w:spacing w:before="120" w:after="120"/>
        <w:ind w:left="993" w:hanging="993"/>
        <w:jc w:val="both"/>
        <w:rPr>
          <w:sz w:val="22"/>
          <w:szCs w:val="22"/>
          <w:lang w:val="es-ES"/>
        </w:rPr>
      </w:pPr>
      <w:r w:rsidRPr="001437A5">
        <w:rPr>
          <w:sz w:val="22"/>
          <w:szCs w:val="22"/>
          <w:lang w:val="es-ES"/>
        </w:rPr>
        <w:t>3)</w:t>
      </w:r>
      <w:r w:rsidRPr="001437A5">
        <w:rPr>
          <w:sz w:val="22"/>
          <w:szCs w:val="22"/>
          <w:lang w:val="es-ES"/>
        </w:rPr>
        <w:tab/>
        <w:t>Reg</w:t>
      </w:r>
      <w:r w:rsidR="0088093F" w:rsidRPr="001437A5">
        <w:rPr>
          <w:sz w:val="22"/>
          <w:szCs w:val="22"/>
          <w:lang w:val="es-ES"/>
        </w:rPr>
        <w:t>lamento</w:t>
      </w:r>
      <w:r w:rsidRPr="001437A5">
        <w:rPr>
          <w:sz w:val="22"/>
          <w:szCs w:val="22"/>
          <w:lang w:val="es-ES"/>
        </w:rPr>
        <w:t> (</w:t>
      </w:r>
      <w:r w:rsidR="0088093F" w:rsidRPr="001437A5">
        <w:rPr>
          <w:sz w:val="22"/>
          <w:szCs w:val="22"/>
          <w:lang w:val="es-ES"/>
        </w:rPr>
        <w:t>C</w:t>
      </w:r>
      <w:r w:rsidRPr="001437A5">
        <w:rPr>
          <w:sz w:val="22"/>
          <w:szCs w:val="22"/>
          <w:lang w:val="es-ES"/>
        </w:rPr>
        <w:t xml:space="preserve">E) </w:t>
      </w:r>
      <w:r w:rsidR="002F7D00">
        <w:rPr>
          <w:sz w:val="22"/>
          <w:szCs w:val="22"/>
          <w:lang w:val="es-ES"/>
        </w:rPr>
        <w:t>n.º</w:t>
      </w:r>
      <w:r w:rsidR="0088093F" w:rsidRPr="001437A5">
        <w:rPr>
          <w:sz w:val="22"/>
          <w:szCs w:val="22"/>
          <w:lang w:val="es-ES"/>
        </w:rPr>
        <w:t> </w:t>
      </w:r>
      <w:r w:rsidRPr="001437A5">
        <w:rPr>
          <w:sz w:val="22"/>
          <w:szCs w:val="22"/>
          <w:lang w:val="es-ES"/>
        </w:rPr>
        <w:t xml:space="preserve">1724/2001 </w:t>
      </w:r>
      <w:r w:rsidR="0088093F" w:rsidRPr="001437A5">
        <w:rPr>
          <w:sz w:val="22"/>
          <w:szCs w:val="22"/>
          <w:lang w:val="es-ES"/>
        </w:rPr>
        <w:t>del Parlamento Europeo y del Consejo, de</w:t>
      </w:r>
      <w:r w:rsidRPr="001437A5">
        <w:rPr>
          <w:sz w:val="22"/>
          <w:szCs w:val="22"/>
          <w:lang w:val="es-ES"/>
        </w:rPr>
        <w:t xml:space="preserve"> 23 </w:t>
      </w:r>
      <w:r w:rsidR="0088093F" w:rsidRPr="001437A5">
        <w:rPr>
          <w:sz w:val="22"/>
          <w:szCs w:val="22"/>
          <w:lang w:val="es-ES"/>
        </w:rPr>
        <w:t>de julio de</w:t>
      </w:r>
      <w:r w:rsidRPr="001437A5">
        <w:rPr>
          <w:sz w:val="22"/>
          <w:szCs w:val="22"/>
          <w:lang w:val="es-ES"/>
        </w:rPr>
        <w:t> 2001</w:t>
      </w:r>
      <w:r w:rsidR="0088093F" w:rsidRPr="001437A5">
        <w:rPr>
          <w:sz w:val="22"/>
          <w:szCs w:val="22"/>
          <w:lang w:val="es-ES"/>
        </w:rPr>
        <w:t>,</w:t>
      </w:r>
      <w:r w:rsidRPr="001437A5">
        <w:rPr>
          <w:sz w:val="22"/>
          <w:szCs w:val="22"/>
          <w:lang w:val="es-ES"/>
        </w:rPr>
        <w:t xml:space="preserve"> </w:t>
      </w:r>
      <w:r w:rsidR="0088093F" w:rsidRPr="001437A5">
        <w:rPr>
          <w:sz w:val="22"/>
          <w:szCs w:val="22"/>
          <w:lang w:val="es-ES"/>
        </w:rPr>
        <w:t>relativo a las acciones contra las minas terrestres antipersonas en los país</w:t>
      </w:r>
      <w:r w:rsidRPr="001437A5">
        <w:rPr>
          <w:sz w:val="22"/>
          <w:szCs w:val="22"/>
          <w:lang w:val="es-ES"/>
        </w:rPr>
        <w:t>es</w:t>
      </w:r>
      <w:r w:rsidR="0088093F" w:rsidRPr="001437A5">
        <w:rPr>
          <w:sz w:val="22"/>
          <w:szCs w:val="22"/>
          <w:lang w:val="es-ES"/>
        </w:rPr>
        <w:t xml:space="preserve"> en desarrollo</w:t>
      </w:r>
      <w:r w:rsidRPr="001437A5">
        <w:rPr>
          <w:rStyle w:val="FootnoteReference"/>
          <w:color w:val="000000"/>
          <w:sz w:val="22"/>
          <w:szCs w:val="22"/>
          <w:lang w:val="es-ES"/>
        </w:rPr>
        <w:footnoteReference w:id="4"/>
      </w:r>
      <w:r w:rsidR="0031151B" w:rsidRPr="001437A5">
        <w:rPr>
          <w:sz w:val="22"/>
          <w:szCs w:val="22"/>
          <w:lang w:val="es-ES"/>
        </w:rPr>
        <w:t>, modifi</w:t>
      </w:r>
      <w:r w:rsidR="0088093F" w:rsidRPr="001437A5">
        <w:rPr>
          <w:sz w:val="22"/>
          <w:szCs w:val="22"/>
          <w:lang w:val="es-ES"/>
        </w:rPr>
        <w:t>cado por el Reglamento del Parlamento Europeo y del Consejo relativo al acceso a la ayuda exterior comunitaria.</w:t>
      </w:r>
    </w:p>
    <w:p w:rsidR="0031151B" w:rsidRPr="001437A5" w:rsidRDefault="008B14F4" w:rsidP="00976287">
      <w:pPr>
        <w:tabs>
          <w:tab w:val="left" w:pos="993"/>
        </w:tabs>
        <w:spacing w:before="120" w:after="120"/>
        <w:ind w:left="993" w:hanging="993"/>
        <w:jc w:val="both"/>
        <w:rPr>
          <w:sz w:val="22"/>
          <w:szCs w:val="22"/>
          <w:lang w:val="es-ES"/>
        </w:rPr>
      </w:pPr>
      <w:r w:rsidRPr="001437A5">
        <w:rPr>
          <w:sz w:val="22"/>
          <w:szCs w:val="22"/>
          <w:lang w:val="es-ES"/>
        </w:rPr>
        <w:t>4)</w:t>
      </w:r>
      <w:r w:rsidRPr="001437A5">
        <w:rPr>
          <w:sz w:val="22"/>
          <w:szCs w:val="22"/>
          <w:lang w:val="es-ES"/>
        </w:rPr>
        <w:tab/>
      </w:r>
      <w:r w:rsidRPr="001437A5">
        <w:rPr>
          <w:bCs/>
          <w:sz w:val="22"/>
          <w:szCs w:val="22"/>
          <w:lang w:val="es-ES"/>
        </w:rPr>
        <w:t>Reg</w:t>
      </w:r>
      <w:r w:rsidR="0088093F" w:rsidRPr="001437A5">
        <w:rPr>
          <w:bCs/>
          <w:sz w:val="22"/>
          <w:szCs w:val="22"/>
          <w:lang w:val="es-ES"/>
        </w:rPr>
        <w:t>lamento</w:t>
      </w:r>
      <w:r w:rsidRPr="001437A5">
        <w:rPr>
          <w:sz w:val="22"/>
          <w:szCs w:val="22"/>
          <w:lang w:val="es-ES"/>
        </w:rPr>
        <w:t> (</w:t>
      </w:r>
      <w:r w:rsidR="0088093F" w:rsidRPr="001437A5">
        <w:rPr>
          <w:sz w:val="22"/>
          <w:szCs w:val="22"/>
          <w:lang w:val="es-ES"/>
        </w:rPr>
        <w:t>CE</w:t>
      </w:r>
      <w:r w:rsidRPr="001437A5">
        <w:rPr>
          <w:sz w:val="22"/>
          <w:szCs w:val="22"/>
          <w:lang w:val="es-ES"/>
        </w:rPr>
        <w:t xml:space="preserve">) </w:t>
      </w:r>
      <w:r w:rsidR="002F7D00">
        <w:rPr>
          <w:sz w:val="22"/>
          <w:szCs w:val="22"/>
          <w:lang w:val="es-ES"/>
        </w:rPr>
        <w:t>n.º</w:t>
      </w:r>
      <w:r w:rsidR="0088093F" w:rsidRPr="001437A5">
        <w:rPr>
          <w:sz w:val="22"/>
          <w:szCs w:val="22"/>
          <w:lang w:val="es-ES"/>
        </w:rPr>
        <w:t> </w:t>
      </w:r>
      <w:r w:rsidRPr="001437A5">
        <w:rPr>
          <w:sz w:val="22"/>
          <w:szCs w:val="22"/>
          <w:lang w:val="es-ES"/>
        </w:rPr>
        <w:t xml:space="preserve">2493/2000 </w:t>
      </w:r>
      <w:r w:rsidR="0088093F" w:rsidRPr="001437A5">
        <w:rPr>
          <w:sz w:val="22"/>
          <w:szCs w:val="22"/>
          <w:lang w:val="es-ES"/>
        </w:rPr>
        <w:t xml:space="preserve">del Parlamento Europeo y del Consejo de </w:t>
      </w:r>
      <w:r w:rsidRPr="001437A5">
        <w:rPr>
          <w:sz w:val="22"/>
          <w:szCs w:val="22"/>
          <w:lang w:val="es-ES"/>
        </w:rPr>
        <w:t>7 </w:t>
      </w:r>
      <w:r w:rsidR="0088093F" w:rsidRPr="001437A5">
        <w:rPr>
          <w:sz w:val="22"/>
          <w:szCs w:val="22"/>
          <w:lang w:val="es-ES"/>
        </w:rPr>
        <w:t>de noviembre de</w:t>
      </w:r>
      <w:r w:rsidRPr="001437A5">
        <w:rPr>
          <w:sz w:val="22"/>
          <w:szCs w:val="22"/>
          <w:lang w:val="es-ES"/>
        </w:rPr>
        <w:t> 2000</w:t>
      </w:r>
      <w:r w:rsidR="0088093F" w:rsidRPr="001437A5">
        <w:rPr>
          <w:sz w:val="22"/>
          <w:szCs w:val="22"/>
          <w:lang w:val="es-ES"/>
        </w:rPr>
        <w:t>,</w:t>
      </w:r>
      <w:r w:rsidRPr="001437A5">
        <w:rPr>
          <w:sz w:val="22"/>
          <w:szCs w:val="22"/>
          <w:lang w:val="es-ES"/>
        </w:rPr>
        <w:t xml:space="preserve"> </w:t>
      </w:r>
      <w:r w:rsidR="0091682E" w:rsidRPr="001437A5">
        <w:rPr>
          <w:sz w:val="22"/>
          <w:szCs w:val="22"/>
          <w:lang w:val="es-ES"/>
        </w:rPr>
        <w:t>por el que se establecen medidas destinadas a promover la plena integración de la dimensión medioambiental en el proceso de desarrollo de los países en desarrollo</w:t>
      </w:r>
      <w:r w:rsidRPr="001437A5">
        <w:rPr>
          <w:rStyle w:val="FootnoteReference"/>
          <w:color w:val="000000"/>
          <w:sz w:val="22"/>
          <w:szCs w:val="22"/>
          <w:lang w:val="es-ES"/>
        </w:rPr>
        <w:footnoteReference w:id="5"/>
      </w:r>
      <w:r w:rsidR="0031151B" w:rsidRPr="001437A5">
        <w:rPr>
          <w:sz w:val="22"/>
          <w:szCs w:val="22"/>
          <w:lang w:val="es-ES"/>
        </w:rPr>
        <w:t>, modifi</w:t>
      </w:r>
      <w:r w:rsidR="0091682E" w:rsidRPr="001437A5">
        <w:rPr>
          <w:sz w:val="22"/>
          <w:szCs w:val="22"/>
          <w:lang w:val="es-ES"/>
        </w:rPr>
        <w:t>cado por el Reglamento del Parlamento Europeo y del Consejo relativo al acceso a la ayuda exterior comunitaria.</w:t>
      </w:r>
    </w:p>
    <w:p w:rsidR="00F02E7F" w:rsidRPr="001437A5" w:rsidRDefault="008B14F4" w:rsidP="00976287">
      <w:pPr>
        <w:tabs>
          <w:tab w:val="left" w:pos="993"/>
        </w:tabs>
        <w:spacing w:before="120" w:after="120"/>
        <w:ind w:left="993" w:hanging="993"/>
        <w:jc w:val="both"/>
        <w:rPr>
          <w:sz w:val="22"/>
          <w:szCs w:val="22"/>
          <w:lang w:val="es-ES"/>
        </w:rPr>
      </w:pPr>
      <w:r w:rsidRPr="001437A5">
        <w:rPr>
          <w:sz w:val="22"/>
          <w:szCs w:val="22"/>
          <w:lang w:val="es-ES"/>
        </w:rPr>
        <w:t>5)</w:t>
      </w:r>
      <w:r w:rsidRPr="001437A5">
        <w:rPr>
          <w:sz w:val="22"/>
          <w:szCs w:val="22"/>
          <w:lang w:val="es-ES"/>
        </w:rPr>
        <w:tab/>
        <w:t>Reg</w:t>
      </w:r>
      <w:r w:rsidR="0091682E" w:rsidRPr="001437A5">
        <w:rPr>
          <w:sz w:val="22"/>
          <w:szCs w:val="22"/>
          <w:lang w:val="es-ES"/>
        </w:rPr>
        <w:t>lamento</w:t>
      </w:r>
      <w:r w:rsidRPr="001437A5">
        <w:rPr>
          <w:sz w:val="22"/>
          <w:szCs w:val="22"/>
          <w:lang w:val="es-ES"/>
        </w:rPr>
        <w:t> (</w:t>
      </w:r>
      <w:r w:rsidR="0091682E" w:rsidRPr="001437A5">
        <w:rPr>
          <w:sz w:val="22"/>
          <w:szCs w:val="22"/>
          <w:lang w:val="es-ES"/>
        </w:rPr>
        <w:t>C</w:t>
      </w:r>
      <w:r w:rsidRPr="001437A5">
        <w:rPr>
          <w:sz w:val="22"/>
          <w:szCs w:val="22"/>
          <w:lang w:val="es-ES"/>
        </w:rPr>
        <w:t xml:space="preserve">E) </w:t>
      </w:r>
      <w:r w:rsidR="002F7D00">
        <w:rPr>
          <w:sz w:val="22"/>
          <w:szCs w:val="22"/>
          <w:lang w:val="es-ES"/>
        </w:rPr>
        <w:t>n.º</w:t>
      </w:r>
      <w:r w:rsidR="0091682E" w:rsidRPr="001437A5">
        <w:rPr>
          <w:sz w:val="22"/>
          <w:szCs w:val="22"/>
          <w:lang w:val="es-ES"/>
        </w:rPr>
        <w:t> </w:t>
      </w:r>
      <w:r w:rsidRPr="001437A5">
        <w:rPr>
          <w:sz w:val="22"/>
          <w:szCs w:val="22"/>
          <w:lang w:val="es-ES"/>
        </w:rPr>
        <w:t xml:space="preserve">2494/2000 </w:t>
      </w:r>
      <w:r w:rsidR="0091682E" w:rsidRPr="001437A5">
        <w:rPr>
          <w:sz w:val="22"/>
          <w:szCs w:val="22"/>
          <w:lang w:val="es-ES"/>
        </w:rPr>
        <w:t>del Parlamento Europeo y del Consejo de</w:t>
      </w:r>
      <w:r w:rsidRPr="001437A5">
        <w:rPr>
          <w:sz w:val="22"/>
          <w:szCs w:val="22"/>
          <w:lang w:val="es-ES"/>
        </w:rPr>
        <w:t> 7 </w:t>
      </w:r>
      <w:r w:rsidR="0091682E" w:rsidRPr="001437A5">
        <w:rPr>
          <w:sz w:val="22"/>
          <w:szCs w:val="22"/>
          <w:lang w:val="es-ES"/>
        </w:rPr>
        <w:t>de noviembre de </w:t>
      </w:r>
      <w:r w:rsidRPr="001437A5">
        <w:rPr>
          <w:sz w:val="22"/>
          <w:szCs w:val="22"/>
          <w:lang w:val="es-ES"/>
        </w:rPr>
        <w:t>2000</w:t>
      </w:r>
      <w:r w:rsidR="0091682E" w:rsidRPr="001437A5">
        <w:rPr>
          <w:sz w:val="22"/>
          <w:szCs w:val="22"/>
          <w:lang w:val="es-ES"/>
        </w:rPr>
        <w:t>,</w:t>
      </w:r>
      <w:r w:rsidRPr="001437A5">
        <w:rPr>
          <w:sz w:val="22"/>
          <w:szCs w:val="22"/>
          <w:lang w:val="es-ES"/>
        </w:rPr>
        <w:t xml:space="preserve"> </w:t>
      </w:r>
      <w:r w:rsidR="0091682E" w:rsidRPr="001437A5">
        <w:rPr>
          <w:sz w:val="22"/>
          <w:szCs w:val="22"/>
          <w:lang w:val="es-ES"/>
        </w:rPr>
        <w:t>por el que se establecen medidas destinadas a promover la conservación y la gestión sostenible de los bosques tropicales y de otro tipo en los países en desarrollo</w:t>
      </w:r>
      <w:r w:rsidRPr="001437A5">
        <w:rPr>
          <w:rStyle w:val="FootnoteReference"/>
          <w:color w:val="000000"/>
          <w:sz w:val="22"/>
          <w:szCs w:val="22"/>
          <w:lang w:val="es-ES"/>
        </w:rPr>
        <w:footnoteReference w:id="6"/>
      </w:r>
      <w:r w:rsidR="0031151B" w:rsidRPr="001437A5">
        <w:rPr>
          <w:sz w:val="22"/>
          <w:szCs w:val="22"/>
          <w:lang w:val="es-ES"/>
        </w:rPr>
        <w:t xml:space="preserve">, </w:t>
      </w:r>
      <w:r w:rsidR="0031151B" w:rsidRPr="001437A5">
        <w:rPr>
          <w:sz w:val="22"/>
          <w:szCs w:val="22"/>
          <w:lang w:val="es-ES"/>
        </w:rPr>
        <w:lastRenderedPageBreak/>
        <w:t>modifi</w:t>
      </w:r>
      <w:r w:rsidR="0091682E" w:rsidRPr="001437A5">
        <w:rPr>
          <w:sz w:val="22"/>
          <w:szCs w:val="22"/>
          <w:lang w:val="es-ES"/>
        </w:rPr>
        <w:t>cado por el Reglamento del Parlamento Europeo y del Consejo relativo al acceso a la ayuda exterior comunitaria.</w:t>
      </w:r>
    </w:p>
    <w:p w:rsidR="000F384E" w:rsidRPr="001437A5" w:rsidRDefault="008B14F4" w:rsidP="00976287">
      <w:pPr>
        <w:tabs>
          <w:tab w:val="left" w:pos="993"/>
        </w:tabs>
        <w:spacing w:before="120" w:after="120"/>
        <w:ind w:left="993" w:hanging="993"/>
        <w:jc w:val="both"/>
        <w:rPr>
          <w:sz w:val="22"/>
          <w:szCs w:val="22"/>
          <w:lang w:val="es-ES"/>
        </w:rPr>
      </w:pPr>
      <w:r w:rsidRPr="001437A5">
        <w:rPr>
          <w:sz w:val="22"/>
          <w:szCs w:val="22"/>
          <w:lang w:val="es-ES"/>
        </w:rPr>
        <w:t>6)</w:t>
      </w:r>
      <w:r w:rsidRPr="001437A5">
        <w:rPr>
          <w:sz w:val="22"/>
          <w:szCs w:val="22"/>
          <w:lang w:val="es-ES"/>
        </w:rPr>
        <w:tab/>
      </w:r>
      <w:r w:rsidR="0091682E" w:rsidRPr="001437A5">
        <w:rPr>
          <w:sz w:val="22"/>
          <w:szCs w:val="22"/>
          <w:lang w:val="es-ES"/>
        </w:rPr>
        <w:t>Reglamento</w:t>
      </w:r>
      <w:r w:rsidRPr="001437A5">
        <w:rPr>
          <w:sz w:val="22"/>
          <w:szCs w:val="22"/>
          <w:lang w:val="es-ES"/>
        </w:rPr>
        <w:t> (</w:t>
      </w:r>
      <w:r w:rsidR="0091682E" w:rsidRPr="001437A5">
        <w:rPr>
          <w:sz w:val="22"/>
          <w:szCs w:val="22"/>
          <w:lang w:val="es-ES"/>
        </w:rPr>
        <w:t>CE)</w:t>
      </w:r>
      <w:r w:rsidRPr="001437A5">
        <w:rPr>
          <w:sz w:val="22"/>
          <w:szCs w:val="22"/>
          <w:lang w:val="es-ES"/>
        </w:rPr>
        <w:t xml:space="preserve"> </w:t>
      </w:r>
      <w:r w:rsidR="002F7D00">
        <w:rPr>
          <w:sz w:val="22"/>
          <w:szCs w:val="22"/>
          <w:lang w:val="es-ES"/>
        </w:rPr>
        <w:t>n.º</w:t>
      </w:r>
      <w:r w:rsidR="0091682E" w:rsidRPr="001437A5">
        <w:rPr>
          <w:sz w:val="22"/>
          <w:szCs w:val="22"/>
          <w:lang w:val="es-ES"/>
        </w:rPr>
        <w:t> </w:t>
      </w:r>
      <w:r w:rsidRPr="001437A5">
        <w:rPr>
          <w:sz w:val="22"/>
          <w:szCs w:val="22"/>
          <w:lang w:val="es-ES"/>
        </w:rPr>
        <w:t xml:space="preserve">975/1999 </w:t>
      </w:r>
      <w:r w:rsidR="0091682E" w:rsidRPr="001437A5">
        <w:rPr>
          <w:sz w:val="22"/>
          <w:szCs w:val="22"/>
          <w:lang w:val="es-ES"/>
        </w:rPr>
        <w:t>del Consejo, de</w:t>
      </w:r>
      <w:r w:rsidRPr="001437A5">
        <w:rPr>
          <w:sz w:val="22"/>
          <w:szCs w:val="22"/>
          <w:lang w:val="es-ES"/>
        </w:rPr>
        <w:t xml:space="preserve"> 29 </w:t>
      </w:r>
      <w:r w:rsidR="0091682E" w:rsidRPr="001437A5">
        <w:rPr>
          <w:sz w:val="22"/>
          <w:szCs w:val="22"/>
          <w:lang w:val="es-ES"/>
        </w:rPr>
        <w:t>de abril de</w:t>
      </w:r>
      <w:r w:rsidRPr="001437A5">
        <w:rPr>
          <w:sz w:val="22"/>
          <w:szCs w:val="22"/>
          <w:lang w:val="es-ES"/>
        </w:rPr>
        <w:t xml:space="preserve"> 1999</w:t>
      </w:r>
      <w:r w:rsidR="0091682E" w:rsidRPr="001437A5">
        <w:rPr>
          <w:sz w:val="22"/>
          <w:szCs w:val="22"/>
          <w:lang w:val="es-ES"/>
        </w:rPr>
        <w:t>,</w:t>
      </w:r>
      <w:r w:rsidRPr="001437A5">
        <w:rPr>
          <w:sz w:val="22"/>
          <w:szCs w:val="22"/>
          <w:lang w:val="es-ES"/>
        </w:rPr>
        <w:t xml:space="preserve"> </w:t>
      </w:r>
      <w:r w:rsidR="0091682E" w:rsidRPr="001437A5">
        <w:rPr>
          <w:sz w:val="22"/>
          <w:szCs w:val="22"/>
          <w:lang w:val="es-ES"/>
        </w:rPr>
        <w:t>por el que se fijan los requisitos para la aplicación de las acciones comunitarias de cooperación al desarrollo que contribuyan a alcanzar el objetivo general de desarrollar y consolidar la democracia y el Estado de Derecho, así como el de respetar los derechos humanos y las libertades fundamentales</w:t>
      </w:r>
      <w:r w:rsidRPr="001437A5">
        <w:rPr>
          <w:sz w:val="22"/>
          <w:szCs w:val="22"/>
          <w:vertAlign w:val="superscript"/>
          <w:lang w:val="es-ES"/>
        </w:rPr>
        <w:footnoteReference w:id="7"/>
      </w:r>
      <w:r w:rsidR="0031151B" w:rsidRPr="001437A5">
        <w:rPr>
          <w:sz w:val="22"/>
          <w:szCs w:val="22"/>
          <w:lang w:val="es-ES"/>
        </w:rPr>
        <w:t>, modifi</w:t>
      </w:r>
      <w:r w:rsidR="0091682E" w:rsidRPr="001437A5">
        <w:rPr>
          <w:sz w:val="22"/>
          <w:szCs w:val="22"/>
          <w:lang w:val="es-ES"/>
        </w:rPr>
        <w:t>cado por el Reglamento del Parlamento Europeo y del Consejo relativo al acceso a la ayuda exterior humanitaria.</w:t>
      </w:r>
    </w:p>
    <w:p w:rsidR="008B14F4" w:rsidRPr="001437A5" w:rsidRDefault="008B14F4" w:rsidP="00987D47">
      <w:pPr>
        <w:tabs>
          <w:tab w:val="left" w:pos="993"/>
        </w:tabs>
        <w:spacing w:before="120" w:after="120"/>
        <w:ind w:left="992" w:hanging="992"/>
        <w:jc w:val="both"/>
        <w:rPr>
          <w:sz w:val="22"/>
          <w:szCs w:val="22"/>
          <w:lang w:val="es-ES"/>
        </w:rPr>
      </w:pPr>
      <w:r w:rsidRPr="001437A5">
        <w:rPr>
          <w:sz w:val="22"/>
          <w:szCs w:val="22"/>
          <w:lang w:val="es-ES"/>
        </w:rPr>
        <w:t>7)</w:t>
      </w:r>
      <w:r w:rsidRPr="001437A5">
        <w:rPr>
          <w:sz w:val="22"/>
          <w:szCs w:val="22"/>
          <w:lang w:val="es-ES"/>
        </w:rPr>
        <w:tab/>
      </w:r>
      <w:r w:rsidR="0091682E" w:rsidRPr="001437A5">
        <w:rPr>
          <w:sz w:val="22"/>
          <w:szCs w:val="22"/>
          <w:lang w:val="es-ES"/>
        </w:rPr>
        <w:t>Reglamento</w:t>
      </w:r>
      <w:r w:rsidRPr="001437A5">
        <w:rPr>
          <w:sz w:val="22"/>
          <w:szCs w:val="22"/>
          <w:lang w:val="es-ES"/>
        </w:rPr>
        <w:t> (</w:t>
      </w:r>
      <w:r w:rsidR="0091682E" w:rsidRPr="001437A5">
        <w:rPr>
          <w:sz w:val="22"/>
          <w:szCs w:val="22"/>
          <w:lang w:val="es-ES"/>
        </w:rPr>
        <w:t>CE</w:t>
      </w:r>
      <w:r w:rsidRPr="001437A5">
        <w:rPr>
          <w:sz w:val="22"/>
          <w:szCs w:val="22"/>
          <w:lang w:val="es-ES"/>
        </w:rPr>
        <w:t xml:space="preserve">) </w:t>
      </w:r>
      <w:r w:rsidR="002F7D00">
        <w:rPr>
          <w:sz w:val="22"/>
          <w:szCs w:val="22"/>
          <w:lang w:val="es-ES"/>
        </w:rPr>
        <w:t>n.º</w:t>
      </w:r>
      <w:r w:rsidR="0091682E" w:rsidRPr="001437A5">
        <w:rPr>
          <w:sz w:val="22"/>
          <w:szCs w:val="22"/>
          <w:lang w:val="es-ES"/>
        </w:rPr>
        <w:t> </w:t>
      </w:r>
      <w:r w:rsidRPr="001437A5">
        <w:rPr>
          <w:sz w:val="22"/>
          <w:szCs w:val="22"/>
          <w:lang w:val="es-ES"/>
        </w:rPr>
        <w:t xml:space="preserve">2836/98 </w:t>
      </w:r>
      <w:r w:rsidR="0091682E" w:rsidRPr="001437A5">
        <w:rPr>
          <w:sz w:val="22"/>
          <w:szCs w:val="22"/>
          <w:lang w:val="es-ES"/>
        </w:rPr>
        <w:t>del Consejo, de</w:t>
      </w:r>
      <w:r w:rsidRPr="001437A5">
        <w:rPr>
          <w:sz w:val="22"/>
          <w:szCs w:val="22"/>
          <w:lang w:val="es-ES"/>
        </w:rPr>
        <w:t xml:space="preserve"> 22 </w:t>
      </w:r>
      <w:r w:rsidR="0091682E" w:rsidRPr="001437A5">
        <w:rPr>
          <w:sz w:val="22"/>
          <w:szCs w:val="22"/>
          <w:lang w:val="es-ES"/>
        </w:rPr>
        <w:t>de diciembre de</w:t>
      </w:r>
      <w:r w:rsidRPr="001437A5">
        <w:rPr>
          <w:sz w:val="22"/>
          <w:szCs w:val="22"/>
          <w:lang w:val="es-ES"/>
        </w:rPr>
        <w:t xml:space="preserve"> 1998</w:t>
      </w:r>
      <w:r w:rsidR="0091682E" w:rsidRPr="001437A5">
        <w:rPr>
          <w:sz w:val="22"/>
          <w:szCs w:val="22"/>
          <w:lang w:val="es-ES"/>
        </w:rPr>
        <w:t>,</w:t>
      </w:r>
      <w:r w:rsidRPr="001437A5">
        <w:rPr>
          <w:sz w:val="22"/>
          <w:szCs w:val="22"/>
          <w:lang w:val="es-ES"/>
        </w:rPr>
        <w:t xml:space="preserve"> </w:t>
      </w:r>
      <w:r w:rsidR="0091682E" w:rsidRPr="001437A5">
        <w:rPr>
          <w:sz w:val="22"/>
          <w:szCs w:val="22"/>
          <w:lang w:val="es-ES"/>
        </w:rPr>
        <w:t>sobre la integración de las cuestiones de género en la cooperación para el desarrollo</w:t>
      </w:r>
      <w:r w:rsidRPr="001437A5">
        <w:rPr>
          <w:sz w:val="22"/>
          <w:szCs w:val="22"/>
          <w:vertAlign w:val="superscript"/>
          <w:lang w:val="es-ES"/>
        </w:rPr>
        <w:footnoteReference w:id="8"/>
      </w:r>
      <w:r w:rsidR="0031151B" w:rsidRPr="001437A5">
        <w:rPr>
          <w:sz w:val="22"/>
          <w:szCs w:val="22"/>
          <w:lang w:val="es-ES"/>
        </w:rPr>
        <w:t>, modifi</w:t>
      </w:r>
      <w:r w:rsidR="0091682E" w:rsidRPr="001437A5">
        <w:rPr>
          <w:sz w:val="22"/>
          <w:szCs w:val="22"/>
          <w:lang w:val="es-ES"/>
        </w:rPr>
        <w:t>cado por el Reglamento del Parlamento Europeo y del Consejo relativo al acceso a la ayuda exterior comunitaria.</w:t>
      </w:r>
    </w:p>
    <w:p w:rsidR="008B14F4" w:rsidRPr="001437A5" w:rsidRDefault="008B14F4" w:rsidP="00976287">
      <w:pPr>
        <w:pStyle w:val="Point2"/>
        <w:tabs>
          <w:tab w:val="left" w:pos="993"/>
        </w:tabs>
        <w:spacing w:line="240" w:lineRule="auto"/>
        <w:ind w:left="992" w:hanging="992"/>
        <w:jc w:val="both"/>
        <w:rPr>
          <w:sz w:val="22"/>
          <w:szCs w:val="22"/>
          <w:lang w:val="es-ES" w:eastAsia="en-GB"/>
        </w:rPr>
      </w:pPr>
      <w:r w:rsidRPr="001437A5">
        <w:rPr>
          <w:sz w:val="22"/>
          <w:szCs w:val="22"/>
          <w:lang w:val="es-ES" w:eastAsia="en-GB"/>
        </w:rPr>
        <w:t>8)</w:t>
      </w:r>
      <w:r w:rsidRPr="001437A5">
        <w:rPr>
          <w:sz w:val="22"/>
          <w:szCs w:val="22"/>
          <w:lang w:val="es-ES" w:eastAsia="en-GB"/>
        </w:rPr>
        <w:tab/>
      </w:r>
      <w:r w:rsidR="0091682E" w:rsidRPr="001437A5">
        <w:rPr>
          <w:sz w:val="22"/>
          <w:szCs w:val="22"/>
          <w:lang w:val="es-ES" w:eastAsia="en-GB"/>
        </w:rPr>
        <w:t>Reglamento</w:t>
      </w:r>
      <w:r w:rsidRPr="001437A5">
        <w:rPr>
          <w:sz w:val="22"/>
          <w:szCs w:val="22"/>
          <w:lang w:val="es-ES" w:eastAsia="en-GB"/>
        </w:rPr>
        <w:t> (</w:t>
      </w:r>
      <w:r w:rsidR="0091682E" w:rsidRPr="001437A5">
        <w:rPr>
          <w:sz w:val="22"/>
          <w:szCs w:val="22"/>
          <w:lang w:val="es-ES" w:eastAsia="en-GB"/>
        </w:rPr>
        <w:t>CE</w:t>
      </w:r>
      <w:r w:rsidRPr="001437A5">
        <w:rPr>
          <w:sz w:val="22"/>
          <w:szCs w:val="22"/>
          <w:lang w:val="es-ES" w:eastAsia="en-GB"/>
        </w:rPr>
        <w:t xml:space="preserve">) </w:t>
      </w:r>
      <w:r w:rsidR="002F7D00">
        <w:rPr>
          <w:sz w:val="22"/>
          <w:szCs w:val="22"/>
          <w:lang w:val="es-ES" w:eastAsia="en-GB"/>
        </w:rPr>
        <w:t>n.º</w:t>
      </w:r>
      <w:r w:rsidR="0091682E" w:rsidRPr="001437A5">
        <w:rPr>
          <w:sz w:val="22"/>
          <w:szCs w:val="22"/>
          <w:lang w:val="es-ES" w:eastAsia="en-GB"/>
        </w:rPr>
        <w:t> </w:t>
      </w:r>
      <w:r w:rsidRPr="001437A5">
        <w:rPr>
          <w:sz w:val="22"/>
          <w:szCs w:val="22"/>
          <w:lang w:val="es-ES" w:eastAsia="en-GB"/>
        </w:rPr>
        <w:t xml:space="preserve">1658/98 </w:t>
      </w:r>
      <w:r w:rsidR="0091682E" w:rsidRPr="001437A5">
        <w:rPr>
          <w:sz w:val="22"/>
          <w:szCs w:val="22"/>
          <w:lang w:val="es-ES" w:eastAsia="en-GB"/>
        </w:rPr>
        <w:t>del Consejo, de</w:t>
      </w:r>
      <w:r w:rsidRPr="001437A5">
        <w:rPr>
          <w:sz w:val="22"/>
          <w:szCs w:val="22"/>
          <w:lang w:val="es-ES" w:eastAsia="en-GB"/>
        </w:rPr>
        <w:t xml:space="preserve"> 17 </w:t>
      </w:r>
      <w:r w:rsidR="005A6B6D" w:rsidRPr="001437A5">
        <w:rPr>
          <w:sz w:val="22"/>
          <w:szCs w:val="22"/>
          <w:lang w:val="es-ES" w:eastAsia="en-GB"/>
        </w:rPr>
        <w:t>de julio de</w:t>
      </w:r>
      <w:r w:rsidRPr="001437A5">
        <w:rPr>
          <w:sz w:val="22"/>
          <w:szCs w:val="22"/>
          <w:lang w:val="es-ES" w:eastAsia="en-GB"/>
        </w:rPr>
        <w:t xml:space="preserve"> 1998</w:t>
      </w:r>
      <w:r w:rsidR="005A6B6D" w:rsidRPr="001437A5">
        <w:rPr>
          <w:sz w:val="22"/>
          <w:szCs w:val="22"/>
          <w:lang w:val="es-ES" w:eastAsia="en-GB"/>
        </w:rPr>
        <w:t>, sobre la cofinanciación, con organizaciones no gubernamentales (ONG) de desarrollo europeas, de acciones en los ámbitos que afectan a los paíse</w:t>
      </w:r>
      <w:r w:rsidRPr="001437A5">
        <w:rPr>
          <w:sz w:val="22"/>
          <w:szCs w:val="22"/>
          <w:lang w:val="es-ES" w:eastAsia="en-GB"/>
        </w:rPr>
        <w:t>s</w:t>
      </w:r>
      <w:r w:rsidR="005A6B6D" w:rsidRPr="001437A5">
        <w:rPr>
          <w:sz w:val="22"/>
          <w:szCs w:val="22"/>
          <w:lang w:val="es-ES" w:eastAsia="en-GB"/>
        </w:rPr>
        <w:t xml:space="preserve"> en desarrollo</w:t>
      </w:r>
      <w:r w:rsidRPr="001437A5">
        <w:rPr>
          <w:sz w:val="22"/>
          <w:szCs w:val="22"/>
          <w:vertAlign w:val="superscript"/>
          <w:lang w:val="es-ES" w:eastAsia="en-GB"/>
        </w:rPr>
        <w:footnoteReference w:id="9"/>
      </w:r>
      <w:r w:rsidR="0031151B" w:rsidRPr="001437A5">
        <w:rPr>
          <w:sz w:val="22"/>
          <w:szCs w:val="22"/>
          <w:lang w:val="es-ES" w:eastAsia="en-GB"/>
        </w:rPr>
        <w:t>, modifi</w:t>
      </w:r>
      <w:r w:rsidR="005A6B6D" w:rsidRPr="001437A5">
        <w:rPr>
          <w:sz w:val="22"/>
          <w:szCs w:val="22"/>
          <w:lang w:val="es-ES" w:eastAsia="en-GB"/>
        </w:rPr>
        <w:t>cado por el Reglamento del Parlamento Europeo y del Consejo relativo al acceso a la ayuda exterior comunitaria.</w:t>
      </w:r>
    </w:p>
    <w:p w:rsidR="0031151B" w:rsidRPr="001437A5" w:rsidRDefault="008B14F4" w:rsidP="00976287">
      <w:pPr>
        <w:pStyle w:val="Point2"/>
        <w:tabs>
          <w:tab w:val="left" w:pos="993"/>
        </w:tabs>
        <w:spacing w:line="240" w:lineRule="auto"/>
        <w:ind w:left="992" w:hanging="992"/>
        <w:jc w:val="both"/>
        <w:rPr>
          <w:sz w:val="22"/>
          <w:szCs w:val="22"/>
          <w:lang w:val="es-ES" w:eastAsia="en-GB"/>
        </w:rPr>
      </w:pPr>
      <w:r w:rsidRPr="001437A5">
        <w:rPr>
          <w:sz w:val="22"/>
          <w:szCs w:val="22"/>
          <w:lang w:val="es-ES" w:eastAsia="en-GB"/>
        </w:rPr>
        <w:t>9)</w:t>
      </w:r>
      <w:r w:rsidRPr="001437A5">
        <w:rPr>
          <w:sz w:val="22"/>
          <w:szCs w:val="22"/>
          <w:lang w:val="es-ES" w:eastAsia="en-GB"/>
        </w:rPr>
        <w:tab/>
      </w:r>
      <w:r w:rsidR="005A6B6D" w:rsidRPr="001437A5">
        <w:rPr>
          <w:sz w:val="22"/>
          <w:szCs w:val="22"/>
          <w:lang w:val="es-ES" w:eastAsia="en-GB"/>
        </w:rPr>
        <w:t>Reglamento</w:t>
      </w:r>
      <w:r w:rsidRPr="001437A5">
        <w:rPr>
          <w:sz w:val="22"/>
          <w:szCs w:val="22"/>
          <w:lang w:val="es-ES" w:eastAsia="en-GB"/>
        </w:rPr>
        <w:t> (</w:t>
      </w:r>
      <w:r w:rsidR="005A6B6D" w:rsidRPr="001437A5">
        <w:rPr>
          <w:sz w:val="22"/>
          <w:szCs w:val="22"/>
          <w:lang w:val="es-ES" w:eastAsia="en-GB"/>
        </w:rPr>
        <w:t>CE</w:t>
      </w:r>
      <w:r w:rsidRPr="001437A5">
        <w:rPr>
          <w:sz w:val="22"/>
          <w:szCs w:val="22"/>
          <w:lang w:val="es-ES" w:eastAsia="en-GB"/>
        </w:rPr>
        <w:t xml:space="preserve">) </w:t>
      </w:r>
      <w:r w:rsidR="002F7D00">
        <w:rPr>
          <w:sz w:val="22"/>
          <w:szCs w:val="22"/>
          <w:lang w:val="es-ES" w:eastAsia="en-GB"/>
        </w:rPr>
        <w:t>n.º</w:t>
      </w:r>
      <w:r w:rsidR="005A6B6D" w:rsidRPr="001437A5">
        <w:rPr>
          <w:sz w:val="22"/>
          <w:szCs w:val="22"/>
          <w:lang w:val="es-ES" w:eastAsia="en-GB"/>
        </w:rPr>
        <w:t> </w:t>
      </w:r>
      <w:r w:rsidRPr="001437A5">
        <w:rPr>
          <w:sz w:val="22"/>
          <w:szCs w:val="22"/>
          <w:lang w:val="es-ES" w:eastAsia="en-GB"/>
        </w:rPr>
        <w:t xml:space="preserve">2046/97 </w:t>
      </w:r>
      <w:r w:rsidR="005A6B6D" w:rsidRPr="001437A5">
        <w:rPr>
          <w:sz w:val="22"/>
          <w:szCs w:val="22"/>
          <w:lang w:val="es-ES" w:eastAsia="en-GB"/>
        </w:rPr>
        <w:t>del Consejo, de</w:t>
      </w:r>
      <w:r w:rsidRPr="001437A5">
        <w:rPr>
          <w:sz w:val="22"/>
          <w:szCs w:val="22"/>
          <w:lang w:val="es-ES" w:eastAsia="en-GB"/>
        </w:rPr>
        <w:t xml:space="preserve"> 13 </w:t>
      </w:r>
      <w:r w:rsidR="005A6B6D" w:rsidRPr="001437A5">
        <w:rPr>
          <w:sz w:val="22"/>
          <w:szCs w:val="22"/>
          <w:lang w:val="es-ES" w:eastAsia="en-GB"/>
        </w:rPr>
        <w:t>de o</w:t>
      </w:r>
      <w:r w:rsidRPr="001437A5">
        <w:rPr>
          <w:sz w:val="22"/>
          <w:szCs w:val="22"/>
          <w:lang w:val="es-ES" w:eastAsia="en-GB"/>
        </w:rPr>
        <w:t>ct</w:t>
      </w:r>
      <w:r w:rsidR="005A6B6D" w:rsidRPr="001437A5">
        <w:rPr>
          <w:sz w:val="22"/>
          <w:szCs w:val="22"/>
          <w:lang w:val="es-ES" w:eastAsia="en-GB"/>
        </w:rPr>
        <w:t>ubre de</w:t>
      </w:r>
      <w:r w:rsidRPr="001437A5">
        <w:rPr>
          <w:sz w:val="22"/>
          <w:szCs w:val="22"/>
          <w:lang w:val="es-ES" w:eastAsia="en-GB"/>
        </w:rPr>
        <w:t xml:space="preserve"> 1997</w:t>
      </w:r>
      <w:r w:rsidR="005A6B6D" w:rsidRPr="001437A5">
        <w:rPr>
          <w:sz w:val="22"/>
          <w:szCs w:val="22"/>
          <w:lang w:val="es-ES" w:eastAsia="en-GB"/>
        </w:rPr>
        <w:t>, relativo a la cooperación Norte-Sur en materia de lucha contra las drogas y la toxicomanía</w:t>
      </w:r>
      <w:r w:rsidRPr="001437A5">
        <w:rPr>
          <w:sz w:val="22"/>
          <w:szCs w:val="22"/>
          <w:vertAlign w:val="superscript"/>
          <w:lang w:val="es-ES" w:eastAsia="en-GB"/>
        </w:rPr>
        <w:footnoteReference w:id="10"/>
      </w:r>
      <w:r w:rsidR="0031151B" w:rsidRPr="001437A5">
        <w:rPr>
          <w:sz w:val="22"/>
          <w:szCs w:val="22"/>
          <w:lang w:val="es-ES" w:eastAsia="en-GB"/>
        </w:rPr>
        <w:t>, modifi</w:t>
      </w:r>
      <w:r w:rsidR="005A6B6D" w:rsidRPr="001437A5">
        <w:rPr>
          <w:sz w:val="22"/>
          <w:szCs w:val="22"/>
          <w:lang w:val="es-ES" w:eastAsia="en-GB"/>
        </w:rPr>
        <w:t>cado por el Reglamento del Parlamento Europeo y del Consejo relativo al acceso a la ayuda exterior comunitaria.</w:t>
      </w:r>
    </w:p>
    <w:p w:rsidR="0031151B" w:rsidRPr="001437A5" w:rsidRDefault="008B14F4" w:rsidP="00976287">
      <w:pPr>
        <w:pStyle w:val="Point2"/>
        <w:tabs>
          <w:tab w:val="left" w:pos="993"/>
        </w:tabs>
        <w:spacing w:line="240" w:lineRule="auto"/>
        <w:ind w:left="992" w:hanging="992"/>
        <w:jc w:val="both"/>
        <w:rPr>
          <w:sz w:val="22"/>
          <w:szCs w:val="22"/>
          <w:lang w:val="es-ES" w:eastAsia="en-GB"/>
        </w:rPr>
      </w:pPr>
      <w:r w:rsidRPr="001437A5">
        <w:rPr>
          <w:sz w:val="22"/>
          <w:szCs w:val="22"/>
          <w:lang w:val="es-ES" w:eastAsia="en-GB"/>
        </w:rPr>
        <w:t>10)</w:t>
      </w:r>
      <w:r w:rsidRPr="001437A5">
        <w:rPr>
          <w:sz w:val="22"/>
          <w:szCs w:val="22"/>
          <w:lang w:val="es-ES" w:eastAsia="en-GB"/>
        </w:rPr>
        <w:tab/>
      </w:r>
      <w:r w:rsidR="00701207" w:rsidRPr="001437A5">
        <w:rPr>
          <w:sz w:val="22"/>
          <w:szCs w:val="22"/>
          <w:lang w:val="es-ES" w:eastAsia="en-GB"/>
        </w:rPr>
        <w:t>Reglamento</w:t>
      </w:r>
      <w:r w:rsidRPr="001437A5">
        <w:rPr>
          <w:sz w:val="22"/>
          <w:szCs w:val="22"/>
          <w:lang w:val="es-ES" w:eastAsia="en-GB"/>
        </w:rPr>
        <w:t> (</w:t>
      </w:r>
      <w:r w:rsidR="00701207" w:rsidRPr="001437A5">
        <w:rPr>
          <w:sz w:val="22"/>
          <w:szCs w:val="22"/>
          <w:lang w:val="es-ES" w:eastAsia="en-GB"/>
        </w:rPr>
        <w:t>CE</w:t>
      </w:r>
      <w:r w:rsidRPr="001437A5">
        <w:rPr>
          <w:sz w:val="22"/>
          <w:szCs w:val="22"/>
          <w:lang w:val="es-ES" w:eastAsia="en-GB"/>
        </w:rPr>
        <w:t xml:space="preserve">) </w:t>
      </w:r>
      <w:r w:rsidR="002F7D00">
        <w:rPr>
          <w:sz w:val="22"/>
          <w:szCs w:val="22"/>
          <w:lang w:val="es-ES" w:eastAsia="en-GB"/>
        </w:rPr>
        <w:t>n.º</w:t>
      </w:r>
      <w:r w:rsidR="00701207" w:rsidRPr="001437A5">
        <w:rPr>
          <w:sz w:val="22"/>
          <w:szCs w:val="22"/>
          <w:lang w:val="es-ES" w:eastAsia="en-GB"/>
        </w:rPr>
        <w:t> </w:t>
      </w:r>
      <w:r w:rsidRPr="001437A5">
        <w:rPr>
          <w:sz w:val="22"/>
          <w:szCs w:val="22"/>
          <w:lang w:val="es-ES" w:eastAsia="en-GB"/>
        </w:rPr>
        <w:t xml:space="preserve">2258/96 </w:t>
      </w:r>
      <w:r w:rsidR="00701207" w:rsidRPr="001437A5">
        <w:rPr>
          <w:sz w:val="22"/>
          <w:szCs w:val="22"/>
          <w:lang w:val="es-ES" w:eastAsia="en-GB"/>
        </w:rPr>
        <w:t>del Consejo, de</w:t>
      </w:r>
      <w:r w:rsidRPr="001437A5">
        <w:rPr>
          <w:sz w:val="22"/>
          <w:szCs w:val="22"/>
          <w:lang w:val="es-ES" w:eastAsia="en-GB"/>
        </w:rPr>
        <w:t xml:space="preserve"> 22 </w:t>
      </w:r>
      <w:r w:rsidR="00701207" w:rsidRPr="001437A5">
        <w:rPr>
          <w:sz w:val="22"/>
          <w:szCs w:val="22"/>
          <w:lang w:val="es-ES" w:eastAsia="en-GB"/>
        </w:rPr>
        <w:t>de n</w:t>
      </w:r>
      <w:r w:rsidRPr="001437A5">
        <w:rPr>
          <w:sz w:val="22"/>
          <w:szCs w:val="22"/>
          <w:lang w:val="es-ES" w:eastAsia="en-GB"/>
        </w:rPr>
        <w:t>ov</w:t>
      </w:r>
      <w:r w:rsidR="00701207" w:rsidRPr="001437A5">
        <w:rPr>
          <w:sz w:val="22"/>
          <w:szCs w:val="22"/>
          <w:lang w:val="es-ES" w:eastAsia="en-GB"/>
        </w:rPr>
        <w:t>i</w:t>
      </w:r>
      <w:r w:rsidRPr="001437A5">
        <w:rPr>
          <w:sz w:val="22"/>
          <w:szCs w:val="22"/>
          <w:lang w:val="es-ES" w:eastAsia="en-GB"/>
        </w:rPr>
        <w:t>emb</w:t>
      </w:r>
      <w:r w:rsidR="00701207" w:rsidRPr="001437A5">
        <w:rPr>
          <w:sz w:val="22"/>
          <w:szCs w:val="22"/>
          <w:lang w:val="es-ES" w:eastAsia="en-GB"/>
        </w:rPr>
        <w:t>re de</w:t>
      </w:r>
      <w:r w:rsidRPr="001437A5">
        <w:rPr>
          <w:sz w:val="22"/>
          <w:szCs w:val="22"/>
          <w:lang w:val="es-ES" w:eastAsia="en-GB"/>
        </w:rPr>
        <w:t xml:space="preserve"> 1996</w:t>
      </w:r>
      <w:r w:rsidR="00701207" w:rsidRPr="001437A5">
        <w:rPr>
          <w:sz w:val="22"/>
          <w:szCs w:val="22"/>
          <w:lang w:val="es-ES" w:eastAsia="en-GB"/>
        </w:rPr>
        <w:t>, sobre acciones de rehabilitación y reconstrucción a favor de países en desarrollo</w:t>
      </w:r>
      <w:r w:rsidRPr="001437A5">
        <w:rPr>
          <w:sz w:val="22"/>
          <w:szCs w:val="22"/>
          <w:vertAlign w:val="superscript"/>
          <w:lang w:val="es-ES" w:eastAsia="en-GB"/>
        </w:rPr>
        <w:footnoteReference w:id="11"/>
      </w:r>
      <w:r w:rsidR="0031151B" w:rsidRPr="001437A5">
        <w:rPr>
          <w:sz w:val="22"/>
          <w:szCs w:val="22"/>
          <w:lang w:val="es-ES" w:eastAsia="en-GB"/>
        </w:rPr>
        <w:t>, modifi</w:t>
      </w:r>
      <w:r w:rsidR="00701207" w:rsidRPr="001437A5">
        <w:rPr>
          <w:sz w:val="22"/>
          <w:szCs w:val="22"/>
          <w:lang w:val="es-ES" w:eastAsia="en-GB"/>
        </w:rPr>
        <w:t>cado por el Reglamento del Parlamento Europeo y del Consejo relativo al acceso a la ayuda exterior comunitaria.</w:t>
      </w:r>
    </w:p>
    <w:p w:rsidR="00500F0C" w:rsidRPr="001437A5" w:rsidRDefault="008B14F4" w:rsidP="00976287">
      <w:pPr>
        <w:pStyle w:val="Point2"/>
        <w:tabs>
          <w:tab w:val="left" w:pos="993"/>
        </w:tabs>
        <w:spacing w:line="240" w:lineRule="auto"/>
        <w:ind w:left="992" w:hanging="992"/>
        <w:jc w:val="both"/>
        <w:rPr>
          <w:sz w:val="22"/>
          <w:szCs w:val="22"/>
          <w:lang w:val="es-ES" w:eastAsia="en-GB"/>
        </w:rPr>
      </w:pPr>
      <w:r w:rsidRPr="001437A5">
        <w:rPr>
          <w:sz w:val="22"/>
          <w:szCs w:val="22"/>
          <w:lang w:val="es-ES" w:eastAsia="en-GB"/>
        </w:rPr>
        <w:t>11)</w:t>
      </w:r>
      <w:r w:rsidRPr="001437A5">
        <w:rPr>
          <w:sz w:val="22"/>
          <w:szCs w:val="22"/>
          <w:lang w:val="es-ES" w:eastAsia="en-GB"/>
        </w:rPr>
        <w:tab/>
      </w:r>
      <w:r w:rsidR="00701207" w:rsidRPr="001437A5">
        <w:rPr>
          <w:sz w:val="22"/>
          <w:szCs w:val="22"/>
          <w:lang w:val="es-ES" w:eastAsia="en-GB"/>
        </w:rPr>
        <w:t>Reglamento</w:t>
      </w:r>
      <w:r w:rsidRPr="001437A5">
        <w:rPr>
          <w:sz w:val="22"/>
          <w:szCs w:val="22"/>
          <w:lang w:val="es-ES" w:eastAsia="en-GB"/>
        </w:rPr>
        <w:t> (</w:t>
      </w:r>
      <w:r w:rsidR="00701207" w:rsidRPr="001437A5">
        <w:rPr>
          <w:sz w:val="22"/>
          <w:szCs w:val="22"/>
          <w:lang w:val="es-ES" w:eastAsia="en-GB"/>
        </w:rPr>
        <w:t>CE</w:t>
      </w:r>
      <w:r w:rsidRPr="001437A5">
        <w:rPr>
          <w:sz w:val="22"/>
          <w:szCs w:val="22"/>
          <w:lang w:val="es-ES" w:eastAsia="en-GB"/>
        </w:rPr>
        <w:t xml:space="preserve">) </w:t>
      </w:r>
      <w:r w:rsidR="002F7D00">
        <w:rPr>
          <w:sz w:val="22"/>
          <w:szCs w:val="22"/>
          <w:lang w:val="es-ES" w:eastAsia="en-GB"/>
        </w:rPr>
        <w:t>n.º</w:t>
      </w:r>
      <w:r w:rsidR="00701207" w:rsidRPr="001437A5">
        <w:rPr>
          <w:sz w:val="22"/>
          <w:szCs w:val="22"/>
          <w:lang w:val="es-ES" w:eastAsia="en-GB"/>
        </w:rPr>
        <w:t> </w:t>
      </w:r>
      <w:r w:rsidRPr="001437A5">
        <w:rPr>
          <w:sz w:val="22"/>
          <w:szCs w:val="22"/>
          <w:lang w:val="es-ES" w:eastAsia="en-GB"/>
        </w:rPr>
        <w:t xml:space="preserve">1292/96 </w:t>
      </w:r>
      <w:r w:rsidR="00701207" w:rsidRPr="001437A5">
        <w:rPr>
          <w:sz w:val="22"/>
          <w:szCs w:val="22"/>
          <w:lang w:val="es-ES" w:eastAsia="en-GB"/>
        </w:rPr>
        <w:t>del Consejo, de</w:t>
      </w:r>
      <w:r w:rsidRPr="001437A5">
        <w:rPr>
          <w:sz w:val="22"/>
          <w:szCs w:val="22"/>
          <w:lang w:val="es-ES" w:eastAsia="en-GB"/>
        </w:rPr>
        <w:t xml:space="preserve"> 27 </w:t>
      </w:r>
      <w:r w:rsidR="00701207" w:rsidRPr="001437A5">
        <w:rPr>
          <w:sz w:val="22"/>
          <w:szCs w:val="22"/>
          <w:lang w:val="es-ES" w:eastAsia="en-GB"/>
        </w:rPr>
        <w:t>de j</w:t>
      </w:r>
      <w:r w:rsidRPr="001437A5">
        <w:rPr>
          <w:sz w:val="22"/>
          <w:szCs w:val="22"/>
          <w:lang w:val="es-ES" w:eastAsia="en-GB"/>
        </w:rPr>
        <w:t>un</w:t>
      </w:r>
      <w:r w:rsidR="00701207" w:rsidRPr="001437A5">
        <w:rPr>
          <w:sz w:val="22"/>
          <w:szCs w:val="22"/>
          <w:lang w:val="es-ES" w:eastAsia="en-GB"/>
        </w:rPr>
        <w:t>io de</w:t>
      </w:r>
      <w:r w:rsidRPr="001437A5">
        <w:rPr>
          <w:sz w:val="22"/>
          <w:szCs w:val="22"/>
          <w:lang w:val="es-ES" w:eastAsia="en-GB"/>
        </w:rPr>
        <w:t xml:space="preserve"> 1996</w:t>
      </w:r>
      <w:r w:rsidR="00701207" w:rsidRPr="001437A5">
        <w:rPr>
          <w:sz w:val="22"/>
          <w:szCs w:val="22"/>
          <w:lang w:val="es-ES" w:eastAsia="en-GB"/>
        </w:rPr>
        <w:t>, sobre la política y la gestión de la ayuda alimentaria y de las acciones específicas de apoyo a la seguridad alimentaria</w:t>
      </w:r>
      <w:r w:rsidRPr="001437A5">
        <w:rPr>
          <w:sz w:val="22"/>
          <w:szCs w:val="22"/>
          <w:vertAlign w:val="superscript"/>
          <w:lang w:val="es-ES" w:eastAsia="en-GB"/>
        </w:rPr>
        <w:footnoteReference w:id="12"/>
      </w:r>
      <w:r w:rsidR="0031151B" w:rsidRPr="001437A5">
        <w:rPr>
          <w:sz w:val="22"/>
          <w:szCs w:val="22"/>
          <w:lang w:val="es-ES" w:eastAsia="en-GB"/>
        </w:rPr>
        <w:t>, modifi</w:t>
      </w:r>
      <w:r w:rsidR="00701207" w:rsidRPr="001437A5">
        <w:rPr>
          <w:sz w:val="22"/>
          <w:szCs w:val="22"/>
          <w:lang w:val="es-ES" w:eastAsia="en-GB"/>
        </w:rPr>
        <w:t>cado por el Reglamento del Parlamento Europeo y del Consejo relativo a la ayuda exterior comunitaria.</w:t>
      </w:r>
    </w:p>
    <w:p w:rsidR="00203750" w:rsidRPr="001437A5" w:rsidRDefault="00776F45" w:rsidP="00976287">
      <w:pPr>
        <w:tabs>
          <w:tab w:val="left" w:pos="993"/>
        </w:tabs>
        <w:spacing w:before="120" w:after="120"/>
        <w:ind w:left="992" w:hanging="992"/>
        <w:jc w:val="both"/>
        <w:rPr>
          <w:sz w:val="22"/>
          <w:szCs w:val="22"/>
          <w:lang w:val="es-ES"/>
        </w:rPr>
      </w:pPr>
      <w:r w:rsidRPr="001437A5">
        <w:rPr>
          <w:sz w:val="22"/>
          <w:szCs w:val="22"/>
          <w:lang w:val="es-ES"/>
        </w:rPr>
        <w:t>12)</w:t>
      </w:r>
      <w:r w:rsidR="00203750" w:rsidRPr="001437A5">
        <w:rPr>
          <w:sz w:val="22"/>
          <w:szCs w:val="22"/>
          <w:lang w:val="es-ES"/>
        </w:rPr>
        <w:tab/>
      </w:r>
      <w:r w:rsidR="00701207" w:rsidRPr="001437A5">
        <w:rPr>
          <w:sz w:val="22"/>
          <w:szCs w:val="22"/>
          <w:lang w:val="es-ES"/>
        </w:rPr>
        <w:t>Reglamento</w:t>
      </w:r>
      <w:r w:rsidR="00203750" w:rsidRPr="001437A5">
        <w:rPr>
          <w:sz w:val="22"/>
          <w:szCs w:val="22"/>
          <w:lang w:val="es-ES"/>
        </w:rPr>
        <w:t xml:space="preserve"> (</w:t>
      </w:r>
      <w:r w:rsidR="00701207" w:rsidRPr="001437A5">
        <w:rPr>
          <w:sz w:val="22"/>
          <w:szCs w:val="22"/>
          <w:lang w:val="es-ES"/>
        </w:rPr>
        <w:t>CE</w:t>
      </w:r>
      <w:r w:rsidR="00203750" w:rsidRPr="001437A5">
        <w:rPr>
          <w:sz w:val="22"/>
          <w:szCs w:val="22"/>
          <w:lang w:val="es-ES"/>
        </w:rPr>
        <w:t xml:space="preserve">) </w:t>
      </w:r>
      <w:r w:rsidR="002F7D00">
        <w:rPr>
          <w:sz w:val="22"/>
          <w:szCs w:val="22"/>
          <w:lang w:val="es-ES"/>
        </w:rPr>
        <w:t>n.º</w:t>
      </w:r>
      <w:r w:rsidR="00701207" w:rsidRPr="001437A5">
        <w:rPr>
          <w:sz w:val="22"/>
          <w:szCs w:val="22"/>
          <w:lang w:val="es-ES"/>
        </w:rPr>
        <w:t> </w:t>
      </w:r>
      <w:r w:rsidR="007A02FA" w:rsidRPr="001437A5">
        <w:rPr>
          <w:sz w:val="22"/>
          <w:szCs w:val="22"/>
          <w:lang w:val="es-ES"/>
        </w:rPr>
        <w:t xml:space="preserve">1725/2001 </w:t>
      </w:r>
      <w:r w:rsidR="00701207" w:rsidRPr="001437A5">
        <w:rPr>
          <w:sz w:val="22"/>
          <w:szCs w:val="22"/>
          <w:lang w:val="es-ES"/>
        </w:rPr>
        <w:t>del Consejo, de</w:t>
      </w:r>
      <w:r w:rsidR="00203750" w:rsidRPr="001437A5">
        <w:rPr>
          <w:sz w:val="22"/>
          <w:szCs w:val="22"/>
          <w:lang w:val="es-ES"/>
        </w:rPr>
        <w:t xml:space="preserve"> 23 </w:t>
      </w:r>
      <w:r w:rsidR="00701207" w:rsidRPr="001437A5">
        <w:rPr>
          <w:sz w:val="22"/>
          <w:szCs w:val="22"/>
          <w:lang w:val="es-ES"/>
        </w:rPr>
        <w:t>de j</w:t>
      </w:r>
      <w:r w:rsidR="00203750" w:rsidRPr="001437A5">
        <w:rPr>
          <w:sz w:val="22"/>
          <w:szCs w:val="22"/>
          <w:lang w:val="es-ES"/>
        </w:rPr>
        <w:t>ul</w:t>
      </w:r>
      <w:r w:rsidR="00701207" w:rsidRPr="001437A5">
        <w:rPr>
          <w:sz w:val="22"/>
          <w:szCs w:val="22"/>
          <w:lang w:val="es-ES"/>
        </w:rPr>
        <w:t>io de</w:t>
      </w:r>
      <w:r w:rsidR="007A02FA" w:rsidRPr="001437A5">
        <w:rPr>
          <w:sz w:val="22"/>
          <w:szCs w:val="22"/>
          <w:lang w:val="es-ES"/>
        </w:rPr>
        <w:t xml:space="preserve"> 2001</w:t>
      </w:r>
      <w:r w:rsidR="00701207" w:rsidRPr="001437A5">
        <w:rPr>
          <w:sz w:val="22"/>
          <w:szCs w:val="22"/>
          <w:lang w:val="es-ES"/>
        </w:rPr>
        <w:t>,</w:t>
      </w:r>
      <w:r w:rsidR="00203750" w:rsidRPr="001437A5">
        <w:rPr>
          <w:sz w:val="22"/>
          <w:szCs w:val="22"/>
          <w:lang w:val="es-ES"/>
        </w:rPr>
        <w:t xml:space="preserve"> </w:t>
      </w:r>
      <w:r w:rsidR="00701207" w:rsidRPr="001437A5">
        <w:rPr>
          <w:sz w:val="22"/>
          <w:szCs w:val="22"/>
          <w:lang w:val="es-ES"/>
        </w:rPr>
        <w:t>relativo a las acciones contra las minas terrestres antipersonas en terceros países excepto los paíse</w:t>
      </w:r>
      <w:r w:rsidR="00203750" w:rsidRPr="001437A5">
        <w:rPr>
          <w:sz w:val="22"/>
          <w:szCs w:val="22"/>
          <w:lang w:val="es-ES"/>
        </w:rPr>
        <w:t>s</w:t>
      </w:r>
      <w:r w:rsidR="00701207" w:rsidRPr="001437A5">
        <w:rPr>
          <w:sz w:val="22"/>
          <w:szCs w:val="22"/>
          <w:lang w:val="es-ES"/>
        </w:rPr>
        <w:t xml:space="preserve"> en desarrollo</w:t>
      </w:r>
      <w:r w:rsidR="00203750" w:rsidRPr="001437A5">
        <w:rPr>
          <w:sz w:val="22"/>
          <w:szCs w:val="22"/>
          <w:vertAlign w:val="superscript"/>
          <w:lang w:val="es-ES"/>
        </w:rPr>
        <w:footnoteReference w:id="13"/>
      </w:r>
      <w:r w:rsidR="00213F8C" w:rsidRPr="001437A5">
        <w:rPr>
          <w:sz w:val="22"/>
          <w:szCs w:val="22"/>
          <w:lang w:val="es-ES"/>
        </w:rPr>
        <w:t>, modifi</w:t>
      </w:r>
      <w:r w:rsidR="00701207" w:rsidRPr="001437A5">
        <w:rPr>
          <w:sz w:val="22"/>
          <w:szCs w:val="22"/>
          <w:lang w:val="es-ES"/>
        </w:rPr>
        <w:t>cado por el Reglamento del Parlamento Europeo y del Consejo relativo a la ayuda exterior comunitaria.</w:t>
      </w:r>
    </w:p>
    <w:p w:rsidR="00181DAB" w:rsidRPr="001437A5" w:rsidRDefault="00213F8C" w:rsidP="00976287">
      <w:pPr>
        <w:tabs>
          <w:tab w:val="left" w:pos="993"/>
        </w:tabs>
        <w:spacing w:before="120" w:after="120"/>
        <w:ind w:left="992" w:hanging="992"/>
        <w:jc w:val="both"/>
        <w:rPr>
          <w:sz w:val="22"/>
          <w:szCs w:val="22"/>
          <w:lang w:val="es-ES"/>
        </w:rPr>
      </w:pPr>
      <w:r w:rsidRPr="001437A5">
        <w:rPr>
          <w:sz w:val="22"/>
          <w:szCs w:val="22"/>
          <w:lang w:val="es-ES"/>
        </w:rPr>
        <w:t>13</w:t>
      </w:r>
      <w:r w:rsidR="00776F45" w:rsidRPr="001437A5">
        <w:rPr>
          <w:sz w:val="22"/>
          <w:szCs w:val="22"/>
          <w:lang w:val="es-ES"/>
        </w:rPr>
        <w:t>)</w:t>
      </w:r>
      <w:r w:rsidR="00181DAB" w:rsidRPr="001437A5">
        <w:rPr>
          <w:sz w:val="22"/>
          <w:szCs w:val="22"/>
          <w:lang w:val="es-ES"/>
        </w:rPr>
        <w:tab/>
      </w:r>
      <w:r w:rsidR="00701207" w:rsidRPr="001437A5">
        <w:rPr>
          <w:sz w:val="22"/>
          <w:szCs w:val="22"/>
          <w:lang w:val="es-ES"/>
        </w:rPr>
        <w:t>Reglamento</w:t>
      </w:r>
      <w:r w:rsidR="00181DAB" w:rsidRPr="001437A5">
        <w:rPr>
          <w:sz w:val="22"/>
          <w:szCs w:val="22"/>
          <w:lang w:val="es-ES"/>
        </w:rPr>
        <w:t xml:space="preserve"> (</w:t>
      </w:r>
      <w:r w:rsidR="00701207" w:rsidRPr="001437A5">
        <w:rPr>
          <w:sz w:val="22"/>
          <w:szCs w:val="22"/>
          <w:lang w:val="es-ES"/>
        </w:rPr>
        <w:t>CE</w:t>
      </w:r>
      <w:r w:rsidR="00181DAB" w:rsidRPr="001437A5">
        <w:rPr>
          <w:sz w:val="22"/>
          <w:szCs w:val="22"/>
          <w:lang w:val="es-ES"/>
        </w:rPr>
        <w:t xml:space="preserve">) </w:t>
      </w:r>
      <w:r w:rsidR="002F7D00">
        <w:rPr>
          <w:sz w:val="22"/>
          <w:szCs w:val="22"/>
          <w:lang w:val="es-ES"/>
        </w:rPr>
        <w:t>n.º</w:t>
      </w:r>
      <w:r w:rsidR="00701207" w:rsidRPr="001437A5">
        <w:rPr>
          <w:sz w:val="22"/>
          <w:szCs w:val="22"/>
          <w:lang w:val="es-ES"/>
        </w:rPr>
        <w:t> </w:t>
      </w:r>
      <w:r w:rsidR="00181DAB" w:rsidRPr="001437A5">
        <w:rPr>
          <w:sz w:val="22"/>
          <w:szCs w:val="22"/>
          <w:lang w:val="es-ES"/>
        </w:rPr>
        <w:t xml:space="preserve">976/1999 </w:t>
      </w:r>
      <w:r w:rsidR="00701207" w:rsidRPr="001437A5">
        <w:rPr>
          <w:sz w:val="22"/>
          <w:szCs w:val="22"/>
          <w:lang w:val="es-ES"/>
        </w:rPr>
        <w:t>del Consejo, de</w:t>
      </w:r>
      <w:r w:rsidR="00181DAB" w:rsidRPr="001437A5">
        <w:rPr>
          <w:sz w:val="22"/>
          <w:szCs w:val="22"/>
          <w:lang w:val="es-ES"/>
        </w:rPr>
        <w:t xml:space="preserve"> 29</w:t>
      </w:r>
      <w:r w:rsidR="00701207" w:rsidRPr="001437A5">
        <w:rPr>
          <w:sz w:val="22"/>
          <w:szCs w:val="22"/>
          <w:lang w:val="es-ES"/>
        </w:rPr>
        <w:t xml:space="preserve"> de</w:t>
      </w:r>
      <w:r w:rsidR="00181DAB" w:rsidRPr="001437A5">
        <w:rPr>
          <w:sz w:val="22"/>
          <w:szCs w:val="22"/>
          <w:lang w:val="es-ES"/>
        </w:rPr>
        <w:t xml:space="preserve"> </w:t>
      </w:r>
      <w:r w:rsidR="00701207" w:rsidRPr="001437A5">
        <w:rPr>
          <w:sz w:val="22"/>
          <w:szCs w:val="22"/>
          <w:lang w:val="es-ES"/>
        </w:rPr>
        <w:t>ab</w:t>
      </w:r>
      <w:r w:rsidR="00181DAB" w:rsidRPr="001437A5">
        <w:rPr>
          <w:sz w:val="22"/>
          <w:szCs w:val="22"/>
          <w:lang w:val="es-ES"/>
        </w:rPr>
        <w:t>ril</w:t>
      </w:r>
      <w:r w:rsidR="00701207" w:rsidRPr="001437A5">
        <w:rPr>
          <w:sz w:val="22"/>
          <w:szCs w:val="22"/>
          <w:lang w:val="es-ES"/>
        </w:rPr>
        <w:t xml:space="preserve"> de</w:t>
      </w:r>
      <w:r w:rsidR="00181DAB" w:rsidRPr="001437A5">
        <w:rPr>
          <w:sz w:val="22"/>
          <w:szCs w:val="22"/>
          <w:lang w:val="es-ES"/>
        </w:rPr>
        <w:t xml:space="preserve"> 1999</w:t>
      </w:r>
      <w:r w:rsidR="00701207" w:rsidRPr="001437A5">
        <w:rPr>
          <w:sz w:val="22"/>
          <w:szCs w:val="22"/>
          <w:lang w:val="es-ES"/>
        </w:rPr>
        <w:t>,</w:t>
      </w:r>
      <w:r w:rsidR="00181DAB" w:rsidRPr="001437A5">
        <w:rPr>
          <w:sz w:val="22"/>
          <w:szCs w:val="22"/>
          <w:lang w:val="es-ES"/>
        </w:rPr>
        <w:t xml:space="preserve"> </w:t>
      </w:r>
      <w:r w:rsidR="00701207" w:rsidRPr="001437A5">
        <w:rPr>
          <w:sz w:val="22"/>
          <w:szCs w:val="22"/>
          <w:lang w:val="es-ES"/>
        </w:rPr>
        <w:t xml:space="preserve">por el que se fijan los </w:t>
      </w:r>
      <w:r w:rsidR="007E4910" w:rsidRPr="001437A5">
        <w:rPr>
          <w:sz w:val="22"/>
          <w:szCs w:val="22"/>
          <w:lang w:val="es-ES"/>
        </w:rPr>
        <w:t>requisitos par</w:t>
      </w:r>
      <w:r w:rsidR="00701207" w:rsidRPr="001437A5">
        <w:rPr>
          <w:sz w:val="22"/>
          <w:szCs w:val="22"/>
          <w:lang w:val="es-ES"/>
        </w:rPr>
        <w:t>a</w:t>
      </w:r>
      <w:r w:rsidR="007E4910" w:rsidRPr="001437A5">
        <w:rPr>
          <w:sz w:val="22"/>
          <w:szCs w:val="22"/>
          <w:lang w:val="es-ES"/>
        </w:rPr>
        <w:t xml:space="preserve"> </w:t>
      </w:r>
      <w:r w:rsidR="00701207" w:rsidRPr="001437A5">
        <w:rPr>
          <w:sz w:val="22"/>
          <w:szCs w:val="22"/>
          <w:lang w:val="es-ES"/>
        </w:rPr>
        <w:t xml:space="preserve">la aplicación de las acciones comunitarias, distintas de las de cooperación al desarrollo que, dentro del marco de la política de cooperación comunitaria, contribuyan a alcanzar el objetivo </w:t>
      </w:r>
      <w:r w:rsidR="007E4910" w:rsidRPr="001437A5">
        <w:rPr>
          <w:sz w:val="22"/>
          <w:szCs w:val="22"/>
          <w:lang w:val="es-ES"/>
        </w:rPr>
        <w:t>general</w:t>
      </w:r>
      <w:r w:rsidR="00701207" w:rsidRPr="001437A5">
        <w:rPr>
          <w:sz w:val="22"/>
          <w:szCs w:val="22"/>
          <w:lang w:val="es-ES"/>
        </w:rPr>
        <w:t xml:space="preserve"> de desarrollar y consolidar la democracia y el Estado de Derecho así como respetar los derechos humanos y las libertades fundamentales en los terceros </w:t>
      </w:r>
      <w:r w:rsidR="00701207" w:rsidRPr="001437A5">
        <w:rPr>
          <w:sz w:val="22"/>
          <w:szCs w:val="22"/>
          <w:lang w:val="es-ES"/>
        </w:rPr>
        <w:lastRenderedPageBreak/>
        <w:t>países</w:t>
      </w:r>
      <w:r w:rsidRPr="001437A5">
        <w:rPr>
          <w:sz w:val="22"/>
          <w:szCs w:val="22"/>
          <w:vertAlign w:val="superscript"/>
          <w:lang w:val="es-ES"/>
        </w:rPr>
        <w:footnoteReference w:id="14"/>
      </w:r>
      <w:r w:rsidR="00181DAB" w:rsidRPr="001437A5">
        <w:rPr>
          <w:sz w:val="22"/>
          <w:szCs w:val="22"/>
          <w:lang w:val="es-ES"/>
        </w:rPr>
        <w:t>, modifi</w:t>
      </w:r>
      <w:r w:rsidR="00701207" w:rsidRPr="001437A5">
        <w:rPr>
          <w:sz w:val="22"/>
          <w:szCs w:val="22"/>
          <w:lang w:val="es-ES"/>
        </w:rPr>
        <w:t xml:space="preserve">cado por el Reglamento del Parlamento Europeo y del Consejo relativo a la ayuda exterior </w:t>
      </w:r>
      <w:r w:rsidR="007E4910" w:rsidRPr="001437A5">
        <w:rPr>
          <w:sz w:val="22"/>
          <w:szCs w:val="22"/>
          <w:lang w:val="es-ES"/>
        </w:rPr>
        <w:t>comunitaria</w:t>
      </w:r>
      <w:r w:rsidR="00701207" w:rsidRPr="001437A5">
        <w:rPr>
          <w:sz w:val="22"/>
          <w:szCs w:val="22"/>
          <w:lang w:val="es-ES"/>
        </w:rPr>
        <w:t>.</w:t>
      </w:r>
    </w:p>
    <w:p w:rsidR="008B14F4" w:rsidRPr="001437A5" w:rsidRDefault="0003088C" w:rsidP="00976287">
      <w:pPr>
        <w:spacing w:before="120" w:after="120"/>
        <w:ind w:left="1701" w:hanging="1701"/>
        <w:jc w:val="both"/>
        <w:rPr>
          <w:sz w:val="22"/>
          <w:szCs w:val="22"/>
          <w:u w:val="single"/>
          <w:lang w:val="es-ES"/>
        </w:rPr>
      </w:pPr>
      <w:r w:rsidRPr="001437A5">
        <w:rPr>
          <w:sz w:val="22"/>
          <w:szCs w:val="22"/>
          <w:u w:val="single"/>
          <w:lang w:val="es-ES"/>
        </w:rPr>
        <w:t>I</w:t>
      </w:r>
      <w:r w:rsidR="008B14F4" w:rsidRPr="001437A5">
        <w:rPr>
          <w:sz w:val="22"/>
          <w:szCs w:val="22"/>
          <w:u w:val="single"/>
          <w:lang w:val="es-ES"/>
        </w:rPr>
        <w:t>nstrument</w:t>
      </w:r>
      <w:r w:rsidR="007E4910" w:rsidRPr="001437A5">
        <w:rPr>
          <w:sz w:val="22"/>
          <w:szCs w:val="22"/>
          <w:u w:val="single"/>
          <w:lang w:val="es-ES"/>
        </w:rPr>
        <w:t>o</w:t>
      </w:r>
      <w:r w:rsidR="008B14F4" w:rsidRPr="001437A5">
        <w:rPr>
          <w:sz w:val="22"/>
          <w:szCs w:val="22"/>
          <w:u w:val="single"/>
          <w:lang w:val="es-ES"/>
        </w:rPr>
        <w:t xml:space="preserve">s </w:t>
      </w:r>
      <w:r w:rsidR="007E4910" w:rsidRPr="001437A5">
        <w:rPr>
          <w:sz w:val="22"/>
          <w:szCs w:val="22"/>
          <w:u w:val="single"/>
          <w:lang w:val="es-ES"/>
        </w:rPr>
        <w:t>de ámbito geográfico</w:t>
      </w:r>
      <w:r w:rsidR="00D4236F" w:rsidRPr="001437A5">
        <w:rPr>
          <w:sz w:val="22"/>
          <w:szCs w:val="22"/>
          <w:u w:val="single"/>
          <w:lang w:val="es-ES"/>
        </w:rPr>
        <w:t>:</w:t>
      </w:r>
    </w:p>
    <w:p w:rsidR="008B14F4" w:rsidRPr="001437A5" w:rsidRDefault="00181DAB" w:rsidP="00776F45">
      <w:pPr>
        <w:pStyle w:val="ManualNumPar1"/>
        <w:spacing w:line="240" w:lineRule="auto"/>
        <w:ind w:left="993" w:hanging="993"/>
        <w:jc w:val="both"/>
        <w:rPr>
          <w:sz w:val="22"/>
          <w:szCs w:val="22"/>
          <w:lang w:val="es-ES"/>
        </w:rPr>
      </w:pPr>
      <w:r w:rsidRPr="001437A5">
        <w:rPr>
          <w:sz w:val="22"/>
          <w:szCs w:val="22"/>
          <w:lang w:val="es-ES"/>
        </w:rPr>
        <w:t>1</w:t>
      </w:r>
      <w:r w:rsidR="008B14F4" w:rsidRPr="001437A5">
        <w:rPr>
          <w:sz w:val="22"/>
          <w:szCs w:val="22"/>
          <w:lang w:val="es-ES"/>
        </w:rPr>
        <w:t>)</w:t>
      </w:r>
      <w:r w:rsidR="008B14F4" w:rsidRPr="001437A5">
        <w:rPr>
          <w:sz w:val="22"/>
          <w:szCs w:val="22"/>
          <w:lang w:val="es-ES"/>
        </w:rPr>
        <w:tab/>
      </w:r>
      <w:r w:rsidR="007E4910" w:rsidRPr="001437A5">
        <w:rPr>
          <w:sz w:val="22"/>
          <w:szCs w:val="22"/>
          <w:lang w:val="es-ES"/>
        </w:rPr>
        <w:t xml:space="preserve">Reglamento (CE) </w:t>
      </w:r>
      <w:r w:rsidR="002F7D00">
        <w:rPr>
          <w:sz w:val="22"/>
          <w:szCs w:val="22"/>
          <w:lang w:val="es-ES"/>
        </w:rPr>
        <w:t>n.º</w:t>
      </w:r>
      <w:r w:rsidR="008B14F4" w:rsidRPr="001437A5">
        <w:rPr>
          <w:sz w:val="22"/>
          <w:szCs w:val="22"/>
          <w:lang w:val="es-ES"/>
        </w:rPr>
        <w:t xml:space="preserve"> 257/2001 </w:t>
      </w:r>
      <w:r w:rsidR="007E4910" w:rsidRPr="001437A5">
        <w:rPr>
          <w:sz w:val="22"/>
          <w:szCs w:val="22"/>
          <w:lang w:val="es-ES"/>
        </w:rPr>
        <w:t>del Parlamento Europeo y del Consejo, de</w:t>
      </w:r>
      <w:r w:rsidR="008B14F4" w:rsidRPr="001437A5">
        <w:rPr>
          <w:sz w:val="22"/>
          <w:szCs w:val="22"/>
          <w:lang w:val="es-ES"/>
        </w:rPr>
        <w:t> 22 </w:t>
      </w:r>
      <w:r w:rsidR="007E4910" w:rsidRPr="001437A5">
        <w:rPr>
          <w:sz w:val="22"/>
          <w:szCs w:val="22"/>
          <w:lang w:val="es-ES"/>
        </w:rPr>
        <w:t>de enero de</w:t>
      </w:r>
      <w:r w:rsidR="008B14F4" w:rsidRPr="001437A5">
        <w:rPr>
          <w:sz w:val="22"/>
          <w:szCs w:val="22"/>
          <w:lang w:val="es-ES"/>
        </w:rPr>
        <w:t> 2001</w:t>
      </w:r>
      <w:r w:rsidR="007E4910" w:rsidRPr="001437A5">
        <w:rPr>
          <w:sz w:val="22"/>
          <w:szCs w:val="22"/>
          <w:lang w:val="es-ES"/>
        </w:rPr>
        <w:t>, relativo a las acciones encaminadas a lograr el desarrollo económico y social de Turquía</w:t>
      </w:r>
      <w:r w:rsidR="008B14F4" w:rsidRPr="001437A5">
        <w:rPr>
          <w:rStyle w:val="FootnoteReference"/>
          <w:sz w:val="22"/>
          <w:szCs w:val="22"/>
          <w:lang w:val="es-ES"/>
        </w:rPr>
        <w:footnoteReference w:id="15"/>
      </w:r>
      <w:r w:rsidR="0031151B" w:rsidRPr="001437A5">
        <w:rPr>
          <w:sz w:val="22"/>
          <w:szCs w:val="22"/>
          <w:lang w:val="es-ES"/>
        </w:rPr>
        <w:t xml:space="preserve">, </w:t>
      </w:r>
      <w:r w:rsidR="007E4910" w:rsidRPr="001437A5">
        <w:rPr>
          <w:sz w:val="22"/>
          <w:szCs w:val="22"/>
          <w:lang w:val="es-ES"/>
        </w:rPr>
        <w:t>modificado por el Reglame</w:t>
      </w:r>
      <w:r w:rsidR="0031151B" w:rsidRPr="001437A5">
        <w:rPr>
          <w:sz w:val="22"/>
          <w:szCs w:val="22"/>
          <w:lang w:val="es-ES"/>
        </w:rPr>
        <w:t>n</w:t>
      </w:r>
      <w:r w:rsidR="007E4910" w:rsidRPr="001437A5">
        <w:rPr>
          <w:sz w:val="22"/>
          <w:szCs w:val="22"/>
          <w:lang w:val="es-ES"/>
        </w:rPr>
        <w:t>to</w:t>
      </w:r>
      <w:r w:rsidR="0031151B" w:rsidRPr="001437A5">
        <w:rPr>
          <w:sz w:val="22"/>
          <w:szCs w:val="22"/>
          <w:lang w:val="es-ES"/>
        </w:rPr>
        <w:t xml:space="preserve"> </w:t>
      </w:r>
      <w:r w:rsidR="007E4910" w:rsidRPr="001437A5">
        <w:rPr>
          <w:sz w:val="22"/>
          <w:szCs w:val="22"/>
          <w:lang w:val="es-ES"/>
        </w:rPr>
        <w:t>del Parlamento Europeo y del Consejo</w:t>
      </w:r>
      <w:r w:rsidR="0031151B" w:rsidRPr="001437A5">
        <w:rPr>
          <w:sz w:val="22"/>
          <w:szCs w:val="22"/>
          <w:lang w:val="es-ES"/>
        </w:rPr>
        <w:t xml:space="preserve"> </w:t>
      </w:r>
      <w:r w:rsidR="007E4910" w:rsidRPr="001437A5">
        <w:rPr>
          <w:sz w:val="22"/>
          <w:szCs w:val="22"/>
          <w:lang w:val="es-ES"/>
        </w:rPr>
        <w:t>relativo al acceso a la ayuda exterior comunitaria.</w:t>
      </w:r>
    </w:p>
    <w:p w:rsidR="0031151B" w:rsidRPr="001437A5" w:rsidRDefault="00181DAB" w:rsidP="00776F45">
      <w:pPr>
        <w:pStyle w:val="ManualNumPar1"/>
        <w:spacing w:line="240" w:lineRule="auto"/>
        <w:ind w:left="993" w:hanging="993"/>
        <w:jc w:val="both"/>
        <w:rPr>
          <w:sz w:val="22"/>
          <w:szCs w:val="22"/>
          <w:lang w:val="es-ES"/>
        </w:rPr>
      </w:pPr>
      <w:r w:rsidRPr="001437A5">
        <w:rPr>
          <w:sz w:val="22"/>
          <w:szCs w:val="22"/>
          <w:lang w:val="es-ES"/>
        </w:rPr>
        <w:t>2</w:t>
      </w:r>
      <w:r w:rsidR="008B14F4" w:rsidRPr="001437A5">
        <w:rPr>
          <w:sz w:val="22"/>
          <w:szCs w:val="22"/>
          <w:lang w:val="es-ES"/>
        </w:rPr>
        <w:t>)</w:t>
      </w:r>
      <w:r w:rsidR="008B14F4" w:rsidRPr="001437A5">
        <w:rPr>
          <w:sz w:val="22"/>
          <w:szCs w:val="22"/>
          <w:lang w:val="es-ES"/>
        </w:rPr>
        <w:tab/>
      </w:r>
      <w:r w:rsidR="007E4910" w:rsidRPr="001437A5">
        <w:rPr>
          <w:sz w:val="22"/>
          <w:szCs w:val="22"/>
          <w:lang w:val="es-ES"/>
        </w:rPr>
        <w:t xml:space="preserve">Reglamento (CE) </w:t>
      </w:r>
      <w:r w:rsidR="002F7D00">
        <w:rPr>
          <w:sz w:val="22"/>
          <w:szCs w:val="22"/>
          <w:lang w:val="es-ES"/>
        </w:rPr>
        <w:t>n.º</w:t>
      </w:r>
      <w:r w:rsidR="008B14F4" w:rsidRPr="001437A5">
        <w:rPr>
          <w:sz w:val="22"/>
          <w:szCs w:val="22"/>
          <w:lang w:val="es-ES"/>
        </w:rPr>
        <w:t xml:space="preserve"> 2130/2001 </w:t>
      </w:r>
      <w:r w:rsidR="007E4910" w:rsidRPr="001437A5">
        <w:rPr>
          <w:sz w:val="22"/>
          <w:szCs w:val="22"/>
          <w:lang w:val="es-ES"/>
        </w:rPr>
        <w:t>del Parlamento Europeo y del Consejo, de</w:t>
      </w:r>
      <w:r w:rsidR="008B14F4" w:rsidRPr="001437A5">
        <w:rPr>
          <w:sz w:val="22"/>
          <w:szCs w:val="22"/>
          <w:lang w:val="es-ES"/>
        </w:rPr>
        <w:t> 29 </w:t>
      </w:r>
      <w:r w:rsidR="007E4910" w:rsidRPr="001437A5">
        <w:rPr>
          <w:sz w:val="22"/>
          <w:szCs w:val="22"/>
          <w:lang w:val="es-ES"/>
        </w:rPr>
        <w:t>de o</w:t>
      </w:r>
      <w:r w:rsidR="008B14F4" w:rsidRPr="001437A5">
        <w:rPr>
          <w:sz w:val="22"/>
          <w:szCs w:val="22"/>
          <w:lang w:val="es-ES"/>
        </w:rPr>
        <w:t>c</w:t>
      </w:r>
      <w:r w:rsidR="007E4910" w:rsidRPr="001437A5">
        <w:rPr>
          <w:sz w:val="22"/>
          <w:szCs w:val="22"/>
          <w:lang w:val="es-ES"/>
        </w:rPr>
        <w:t>tu</w:t>
      </w:r>
      <w:r w:rsidR="008B14F4" w:rsidRPr="001437A5">
        <w:rPr>
          <w:sz w:val="22"/>
          <w:szCs w:val="22"/>
          <w:lang w:val="es-ES"/>
        </w:rPr>
        <w:t>b</w:t>
      </w:r>
      <w:r w:rsidR="007E4910" w:rsidRPr="001437A5">
        <w:rPr>
          <w:sz w:val="22"/>
          <w:szCs w:val="22"/>
          <w:lang w:val="es-ES"/>
        </w:rPr>
        <w:t>r</w:t>
      </w:r>
      <w:r w:rsidR="008B14F4" w:rsidRPr="001437A5">
        <w:rPr>
          <w:sz w:val="22"/>
          <w:szCs w:val="22"/>
          <w:lang w:val="es-ES"/>
        </w:rPr>
        <w:t>e</w:t>
      </w:r>
      <w:r w:rsidR="007E4910" w:rsidRPr="001437A5">
        <w:rPr>
          <w:sz w:val="22"/>
          <w:szCs w:val="22"/>
          <w:lang w:val="es-ES"/>
        </w:rPr>
        <w:t xml:space="preserve"> de</w:t>
      </w:r>
      <w:r w:rsidR="008B14F4" w:rsidRPr="001437A5">
        <w:rPr>
          <w:sz w:val="22"/>
          <w:szCs w:val="22"/>
          <w:lang w:val="es-ES"/>
        </w:rPr>
        <w:t xml:space="preserve"> 2001</w:t>
      </w:r>
      <w:r w:rsidR="007E4910" w:rsidRPr="001437A5">
        <w:rPr>
          <w:sz w:val="22"/>
          <w:szCs w:val="22"/>
          <w:lang w:val="es-ES"/>
        </w:rPr>
        <w:t>, relativo a las acciones de ayuda a las poblaciones desarraigadas en los países en de</w:t>
      </w:r>
      <w:r w:rsidR="008B14F4" w:rsidRPr="001437A5">
        <w:rPr>
          <w:sz w:val="22"/>
          <w:szCs w:val="22"/>
          <w:lang w:val="es-ES"/>
        </w:rPr>
        <w:t>s</w:t>
      </w:r>
      <w:r w:rsidR="007E4910" w:rsidRPr="001437A5">
        <w:rPr>
          <w:sz w:val="22"/>
          <w:szCs w:val="22"/>
          <w:lang w:val="es-ES"/>
        </w:rPr>
        <w:t>arrollo de América Latina y Asia</w:t>
      </w:r>
      <w:r w:rsidR="008B14F4" w:rsidRPr="001437A5">
        <w:rPr>
          <w:rStyle w:val="FootnoteReference"/>
          <w:sz w:val="22"/>
          <w:szCs w:val="22"/>
          <w:lang w:val="es-ES"/>
        </w:rPr>
        <w:footnoteReference w:id="16"/>
      </w:r>
      <w:r w:rsidR="0031151B" w:rsidRPr="001437A5">
        <w:rPr>
          <w:sz w:val="22"/>
          <w:szCs w:val="22"/>
          <w:lang w:val="es-ES"/>
        </w:rPr>
        <w:t xml:space="preserve">, </w:t>
      </w:r>
      <w:r w:rsidR="007E4910" w:rsidRPr="001437A5">
        <w:rPr>
          <w:sz w:val="22"/>
          <w:szCs w:val="22"/>
          <w:lang w:val="es-ES"/>
        </w:rPr>
        <w:t>modificado por el</w:t>
      </w:r>
      <w:r w:rsidR="0031151B" w:rsidRPr="001437A5">
        <w:rPr>
          <w:sz w:val="22"/>
          <w:szCs w:val="22"/>
          <w:lang w:val="es-ES"/>
        </w:rPr>
        <w:t xml:space="preserve"> Regla</w:t>
      </w:r>
      <w:r w:rsidR="007E4910" w:rsidRPr="001437A5">
        <w:rPr>
          <w:sz w:val="22"/>
          <w:szCs w:val="22"/>
          <w:lang w:val="es-ES"/>
        </w:rPr>
        <w:t>mento</w:t>
      </w:r>
      <w:r w:rsidR="0031151B" w:rsidRPr="001437A5">
        <w:rPr>
          <w:sz w:val="22"/>
          <w:szCs w:val="22"/>
          <w:lang w:val="es-ES"/>
        </w:rPr>
        <w:t xml:space="preserve"> </w:t>
      </w:r>
      <w:r w:rsidR="007E4910" w:rsidRPr="001437A5">
        <w:rPr>
          <w:sz w:val="22"/>
          <w:szCs w:val="22"/>
          <w:lang w:val="es-ES"/>
        </w:rPr>
        <w:t>del Parlamento Europeo y del Consejo</w:t>
      </w:r>
      <w:r w:rsidR="0031151B" w:rsidRPr="001437A5">
        <w:rPr>
          <w:sz w:val="22"/>
          <w:szCs w:val="22"/>
          <w:lang w:val="es-ES"/>
        </w:rPr>
        <w:t xml:space="preserve"> </w:t>
      </w:r>
      <w:r w:rsidR="007E4910" w:rsidRPr="001437A5">
        <w:rPr>
          <w:sz w:val="22"/>
          <w:szCs w:val="22"/>
          <w:lang w:val="es-ES"/>
        </w:rPr>
        <w:t>relativo al acceso a la ayuda exterior comunitaria.</w:t>
      </w:r>
    </w:p>
    <w:p w:rsidR="008B14F4" w:rsidRPr="001437A5" w:rsidRDefault="00181DAB" w:rsidP="00987D47">
      <w:pPr>
        <w:pStyle w:val="ManualNumPar1"/>
        <w:spacing w:line="240" w:lineRule="auto"/>
        <w:ind w:left="993" w:hanging="993"/>
        <w:jc w:val="both"/>
        <w:rPr>
          <w:sz w:val="22"/>
          <w:szCs w:val="22"/>
          <w:lang w:val="es-ES"/>
        </w:rPr>
      </w:pPr>
      <w:r w:rsidRPr="001437A5">
        <w:rPr>
          <w:sz w:val="22"/>
          <w:szCs w:val="22"/>
          <w:lang w:val="es-ES"/>
        </w:rPr>
        <w:t>3</w:t>
      </w:r>
      <w:r w:rsidR="008B14F4" w:rsidRPr="001437A5">
        <w:rPr>
          <w:sz w:val="22"/>
          <w:szCs w:val="22"/>
          <w:lang w:val="es-ES"/>
        </w:rPr>
        <w:t>)</w:t>
      </w:r>
      <w:r w:rsidR="008B14F4" w:rsidRPr="001437A5">
        <w:rPr>
          <w:sz w:val="22"/>
          <w:szCs w:val="22"/>
          <w:lang w:val="es-ES"/>
        </w:rPr>
        <w:tab/>
      </w:r>
      <w:r w:rsidR="007E4910" w:rsidRPr="001437A5">
        <w:rPr>
          <w:sz w:val="22"/>
          <w:szCs w:val="22"/>
          <w:lang w:val="es-ES"/>
        </w:rPr>
        <w:t xml:space="preserve">Reglamento (CE) </w:t>
      </w:r>
      <w:r w:rsidR="002F7D00">
        <w:rPr>
          <w:sz w:val="22"/>
          <w:szCs w:val="22"/>
          <w:lang w:val="es-ES"/>
        </w:rPr>
        <w:t>n.º</w:t>
      </w:r>
      <w:r w:rsidR="008B14F4" w:rsidRPr="001437A5">
        <w:rPr>
          <w:sz w:val="22"/>
          <w:szCs w:val="22"/>
          <w:lang w:val="es-ES"/>
        </w:rPr>
        <w:t xml:space="preserve"> 1726/2000 </w:t>
      </w:r>
      <w:r w:rsidR="007E4910" w:rsidRPr="001437A5">
        <w:rPr>
          <w:sz w:val="22"/>
          <w:szCs w:val="22"/>
          <w:lang w:val="es-ES"/>
        </w:rPr>
        <w:t>del Parlamento Europeo y del Consejo,</w:t>
      </w:r>
      <w:r w:rsidR="008B14F4" w:rsidRPr="001437A5">
        <w:rPr>
          <w:sz w:val="22"/>
          <w:szCs w:val="22"/>
          <w:lang w:val="es-ES"/>
        </w:rPr>
        <w:t xml:space="preserve"> </w:t>
      </w:r>
      <w:r w:rsidR="007E4910" w:rsidRPr="001437A5">
        <w:rPr>
          <w:sz w:val="22"/>
          <w:szCs w:val="22"/>
          <w:lang w:val="es-ES"/>
        </w:rPr>
        <w:t>de</w:t>
      </w:r>
      <w:r w:rsidR="008B14F4" w:rsidRPr="001437A5">
        <w:rPr>
          <w:sz w:val="22"/>
          <w:szCs w:val="22"/>
          <w:lang w:val="es-ES"/>
        </w:rPr>
        <w:t xml:space="preserve"> 29 </w:t>
      </w:r>
      <w:r w:rsidR="007E4910" w:rsidRPr="001437A5">
        <w:rPr>
          <w:sz w:val="22"/>
          <w:szCs w:val="22"/>
          <w:lang w:val="es-ES"/>
        </w:rPr>
        <w:t>de j</w:t>
      </w:r>
      <w:r w:rsidR="008B14F4" w:rsidRPr="001437A5">
        <w:rPr>
          <w:sz w:val="22"/>
          <w:szCs w:val="22"/>
          <w:lang w:val="es-ES"/>
        </w:rPr>
        <w:t>un</w:t>
      </w:r>
      <w:r w:rsidR="007E4910" w:rsidRPr="001437A5">
        <w:rPr>
          <w:sz w:val="22"/>
          <w:szCs w:val="22"/>
          <w:lang w:val="es-ES"/>
        </w:rPr>
        <w:t>io de</w:t>
      </w:r>
      <w:r w:rsidR="008B14F4" w:rsidRPr="001437A5">
        <w:rPr>
          <w:sz w:val="22"/>
          <w:szCs w:val="22"/>
          <w:lang w:val="es-ES"/>
        </w:rPr>
        <w:t> 2000</w:t>
      </w:r>
      <w:r w:rsidR="007E4910" w:rsidRPr="001437A5">
        <w:rPr>
          <w:sz w:val="22"/>
          <w:szCs w:val="22"/>
          <w:lang w:val="es-ES"/>
        </w:rPr>
        <w:t>,</w:t>
      </w:r>
      <w:r w:rsidR="008B14F4" w:rsidRPr="001437A5">
        <w:rPr>
          <w:sz w:val="22"/>
          <w:szCs w:val="22"/>
          <w:lang w:val="es-ES"/>
        </w:rPr>
        <w:t xml:space="preserve"> </w:t>
      </w:r>
      <w:r w:rsidR="007E4910" w:rsidRPr="001437A5">
        <w:rPr>
          <w:sz w:val="22"/>
          <w:szCs w:val="22"/>
          <w:lang w:val="es-ES"/>
        </w:rPr>
        <w:t>relativo a la cooperación al desarrollo con Sudáfrica</w:t>
      </w:r>
      <w:r w:rsidR="008B14F4" w:rsidRPr="001437A5">
        <w:rPr>
          <w:rStyle w:val="FootnoteReference"/>
          <w:sz w:val="22"/>
          <w:szCs w:val="22"/>
          <w:lang w:val="es-ES"/>
        </w:rPr>
        <w:footnoteReference w:id="17"/>
      </w:r>
      <w:r w:rsidR="0031151B" w:rsidRPr="001437A5">
        <w:rPr>
          <w:sz w:val="22"/>
          <w:szCs w:val="22"/>
          <w:lang w:val="es-ES"/>
        </w:rPr>
        <w:t xml:space="preserve">, </w:t>
      </w:r>
      <w:r w:rsidR="007E4910" w:rsidRPr="001437A5">
        <w:rPr>
          <w:sz w:val="22"/>
          <w:szCs w:val="22"/>
          <w:lang w:val="es-ES"/>
        </w:rPr>
        <w:t xml:space="preserve">modificado por el </w:t>
      </w:r>
      <w:r w:rsidR="0031151B" w:rsidRPr="001437A5">
        <w:rPr>
          <w:sz w:val="22"/>
          <w:szCs w:val="22"/>
          <w:lang w:val="es-ES"/>
        </w:rPr>
        <w:t>Reg</w:t>
      </w:r>
      <w:r w:rsidR="007E4910" w:rsidRPr="001437A5">
        <w:rPr>
          <w:sz w:val="22"/>
          <w:szCs w:val="22"/>
          <w:lang w:val="es-ES"/>
        </w:rPr>
        <w:t>lamento</w:t>
      </w:r>
      <w:r w:rsidR="0031151B" w:rsidRPr="001437A5">
        <w:rPr>
          <w:sz w:val="22"/>
          <w:szCs w:val="22"/>
          <w:lang w:val="es-ES"/>
        </w:rPr>
        <w:t xml:space="preserve"> </w:t>
      </w:r>
      <w:r w:rsidR="007E4910" w:rsidRPr="001437A5">
        <w:rPr>
          <w:sz w:val="22"/>
          <w:szCs w:val="22"/>
          <w:lang w:val="es-ES"/>
        </w:rPr>
        <w:t>del Parlamento Europeo y del Consejo</w:t>
      </w:r>
      <w:r w:rsidR="0031151B" w:rsidRPr="001437A5">
        <w:rPr>
          <w:sz w:val="22"/>
          <w:szCs w:val="22"/>
          <w:lang w:val="es-ES"/>
        </w:rPr>
        <w:t xml:space="preserve"> </w:t>
      </w:r>
      <w:r w:rsidR="007E4910" w:rsidRPr="001437A5">
        <w:rPr>
          <w:sz w:val="22"/>
          <w:szCs w:val="22"/>
          <w:lang w:val="es-ES"/>
        </w:rPr>
        <w:t>relativo al acceso a la ayuda exterior comunitaria.</w:t>
      </w:r>
    </w:p>
    <w:p w:rsidR="00F00FA5" w:rsidRPr="001437A5" w:rsidRDefault="00181DAB" w:rsidP="00776F45">
      <w:pPr>
        <w:pStyle w:val="ManualNumPar1"/>
        <w:spacing w:line="240" w:lineRule="auto"/>
        <w:ind w:left="993" w:hanging="993"/>
        <w:jc w:val="both"/>
        <w:rPr>
          <w:sz w:val="22"/>
          <w:szCs w:val="22"/>
          <w:lang w:val="es-ES"/>
        </w:rPr>
      </w:pPr>
      <w:r w:rsidRPr="001437A5">
        <w:rPr>
          <w:sz w:val="22"/>
          <w:szCs w:val="22"/>
          <w:lang w:val="es-ES"/>
        </w:rPr>
        <w:t>4</w:t>
      </w:r>
      <w:r w:rsidR="008B14F4" w:rsidRPr="001437A5">
        <w:rPr>
          <w:sz w:val="22"/>
          <w:szCs w:val="22"/>
          <w:lang w:val="es-ES"/>
        </w:rPr>
        <w:t>)</w:t>
      </w:r>
      <w:r w:rsidR="008B14F4" w:rsidRPr="001437A5">
        <w:rPr>
          <w:sz w:val="22"/>
          <w:szCs w:val="22"/>
          <w:lang w:val="es-ES"/>
        </w:rPr>
        <w:tab/>
      </w:r>
      <w:r w:rsidR="007E4910" w:rsidRPr="001437A5">
        <w:rPr>
          <w:color w:val="000000"/>
          <w:sz w:val="22"/>
          <w:szCs w:val="22"/>
          <w:lang w:val="es-ES"/>
        </w:rPr>
        <w:t xml:space="preserve">Reglamento (CE) </w:t>
      </w:r>
      <w:r w:rsidR="002F7D00">
        <w:rPr>
          <w:color w:val="000000"/>
          <w:sz w:val="22"/>
          <w:szCs w:val="22"/>
          <w:lang w:val="es-ES"/>
        </w:rPr>
        <w:t>n.º</w:t>
      </w:r>
      <w:r w:rsidR="008B14F4" w:rsidRPr="001437A5">
        <w:rPr>
          <w:sz w:val="22"/>
          <w:szCs w:val="22"/>
          <w:lang w:val="es-ES"/>
        </w:rPr>
        <w:t xml:space="preserve"> 1734/94 </w:t>
      </w:r>
      <w:r w:rsidR="007E4910" w:rsidRPr="001437A5">
        <w:rPr>
          <w:sz w:val="22"/>
          <w:szCs w:val="22"/>
          <w:lang w:val="es-ES"/>
        </w:rPr>
        <w:t>del Consejo, de</w:t>
      </w:r>
      <w:r w:rsidR="008B14F4" w:rsidRPr="001437A5">
        <w:rPr>
          <w:sz w:val="22"/>
          <w:szCs w:val="22"/>
          <w:lang w:val="es-ES"/>
        </w:rPr>
        <w:t xml:space="preserve"> 11 </w:t>
      </w:r>
      <w:r w:rsidR="007E4910" w:rsidRPr="001437A5">
        <w:rPr>
          <w:sz w:val="22"/>
          <w:szCs w:val="22"/>
          <w:lang w:val="es-ES"/>
        </w:rPr>
        <w:t>de j</w:t>
      </w:r>
      <w:r w:rsidR="008B14F4" w:rsidRPr="001437A5">
        <w:rPr>
          <w:sz w:val="22"/>
          <w:szCs w:val="22"/>
          <w:lang w:val="es-ES"/>
        </w:rPr>
        <w:t>ul</w:t>
      </w:r>
      <w:r w:rsidR="007E4910" w:rsidRPr="001437A5">
        <w:rPr>
          <w:sz w:val="22"/>
          <w:szCs w:val="22"/>
          <w:lang w:val="es-ES"/>
        </w:rPr>
        <w:t>io de</w:t>
      </w:r>
      <w:r w:rsidR="008B14F4" w:rsidRPr="001437A5">
        <w:rPr>
          <w:sz w:val="22"/>
          <w:szCs w:val="22"/>
          <w:lang w:val="es-ES"/>
        </w:rPr>
        <w:t xml:space="preserve"> 1994</w:t>
      </w:r>
      <w:r w:rsidR="007E4910" w:rsidRPr="001437A5">
        <w:rPr>
          <w:sz w:val="22"/>
          <w:szCs w:val="22"/>
          <w:lang w:val="es-ES"/>
        </w:rPr>
        <w:t>, relativo a la cooperación financiera y técnica con Cisjordania y la franja de Gaza</w:t>
      </w:r>
      <w:r w:rsidR="008B14F4" w:rsidRPr="001437A5">
        <w:rPr>
          <w:rStyle w:val="FootnoteReference"/>
          <w:sz w:val="22"/>
          <w:szCs w:val="22"/>
          <w:lang w:val="es-ES"/>
        </w:rPr>
        <w:footnoteReference w:id="18"/>
      </w:r>
      <w:r w:rsidR="0031151B" w:rsidRPr="001437A5">
        <w:rPr>
          <w:sz w:val="22"/>
          <w:szCs w:val="22"/>
          <w:lang w:val="es-ES"/>
        </w:rPr>
        <w:t xml:space="preserve">, </w:t>
      </w:r>
      <w:r w:rsidR="007E4910" w:rsidRPr="001437A5">
        <w:rPr>
          <w:sz w:val="22"/>
          <w:szCs w:val="22"/>
          <w:lang w:val="es-ES"/>
        </w:rPr>
        <w:t xml:space="preserve">modificado por </w:t>
      </w:r>
      <w:r w:rsidR="0031151B" w:rsidRPr="001437A5">
        <w:rPr>
          <w:sz w:val="22"/>
          <w:szCs w:val="22"/>
          <w:lang w:val="es-ES"/>
        </w:rPr>
        <w:t>Reg</w:t>
      </w:r>
      <w:r w:rsidR="007E4910" w:rsidRPr="001437A5">
        <w:rPr>
          <w:sz w:val="22"/>
          <w:szCs w:val="22"/>
          <w:lang w:val="es-ES"/>
        </w:rPr>
        <w:t>lamento</w:t>
      </w:r>
      <w:r w:rsidR="0031151B" w:rsidRPr="001437A5">
        <w:rPr>
          <w:sz w:val="22"/>
          <w:szCs w:val="22"/>
          <w:lang w:val="es-ES"/>
        </w:rPr>
        <w:t xml:space="preserve"> </w:t>
      </w:r>
      <w:r w:rsidR="007E4910" w:rsidRPr="001437A5">
        <w:rPr>
          <w:sz w:val="22"/>
          <w:szCs w:val="22"/>
          <w:lang w:val="es-ES"/>
        </w:rPr>
        <w:t>del Parlamento Europeo y del Consejo</w:t>
      </w:r>
      <w:r w:rsidR="0031151B" w:rsidRPr="001437A5">
        <w:rPr>
          <w:sz w:val="22"/>
          <w:szCs w:val="22"/>
          <w:lang w:val="es-ES"/>
        </w:rPr>
        <w:t xml:space="preserve"> </w:t>
      </w:r>
      <w:r w:rsidR="007E4910" w:rsidRPr="001437A5">
        <w:rPr>
          <w:sz w:val="22"/>
          <w:szCs w:val="22"/>
          <w:lang w:val="es-ES"/>
        </w:rPr>
        <w:t>relativo al acceso a la ayuda exterior comunitaria.</w:t>
      </w:r>
    </w:p>
    <w:p w:rsidR="004B3D96" w:rsidRPr="001437A5" w:rsidRDefault="00BB3423" w:rsidP="00776F45">
      <w:pPr>
        <w:spacing w:before="120" w:after="120"/>
        <w:ind w:left="993" w:hanging="993"/>
        <w:jc w:val="both"/>
        <w:rPr>
          <w:sz w:val="22"/>
          <w:szCs w:val="22"/>
          <w:lang w:val="es-ES"/>
        </w:rPr>
      </w:pPr>
      <w:r w:rsidRPr="001437A5">
        <w:rPr>
          <w:sz w:val="22"/>
          <w:szCs w:val="22"/>
          <w:lang w:val="es-ES"/>
        </w:rPr>
        <w:t>5)</w:t>
      </w:r>
      <w:r w:rsidRPr="001437A5">
        <w:rPr>
          <w:sz w:val="22"/>
          <w:szCs w:val="22"/>
          <w:lang w:val="es-ES"/>
        </w:rPr>
        <w:tab/>
      </w:r>
      <w:r w:rsidR="007E4910" w:rsidRPr="001437A5">
        <w:rPr>
          <w:sz w:val="22"/>
          <w:szCs w:val="22"/>
          <w:lang w:val="es-ES"/>
        </w:rPr>
        <w:t xml:space="preserve">Reglamento (CE) </w:t>
      </w:r>
      <w:r w:rsidR="002F7D00">
        <w:rPr>
          <w:sz w:val="22"/>
          <w:szCs w:val="22"/>
          <w:lang w:val="es-ES"/>
        </w:rPr>
        <w:t>n.º</w:t>
      </w:r>
      <w:r w:rsidRPr="001437A5">
        <w:rPr>
          <w:sz w:val="22"/>
          <w:szCs w:val="22"/>
          <w:lang w:val="es-ES"/>
        </w:rPr>
        <w:t xml:space="preserve"> 2500/2001</w:t>
      </w:r>
      <w:r w:rsidR="007E4910" w:rsidRPr="001437A5">
        <w:rPr>
          <w:sz w:val="22"/>
          <w:szCs w:val="22"/>
          <w:lang w:val="es-ES"/>
        </w:rPr>
        <w:t xml:space="preserve"> del Consejo, de</w:t>
      </w:r>
      <w:r w:rsidRPr="001437A5">
        <w:rPr>
          <w:sz w:val="22"/>
          <w:szCs w:val="22"/>
          <w:lang w:val="es-ES"/>
        </w:rPr>
        <w:t xml:space="preserve"> 17 </w:t>
      </w:r>
      <w:r w:rsidR="007E4910" w:rsidRPr="001437A5">
        <w:rPr>
          <w:sz w:val="22"/>
          <w:szCs w:val="22"/>
          <w:lang w:val="es-ES"/>
        </w:rPr>
        <w:t>de di</w:t>
      </w:r>
      <w:r w:rsidRPr="001437A5">
        <w:rPr>
          <w:sz w:val="22"/>
          <w:szCs w:val="22"/>
          <w:lang w:val="es-ES"/>
        </w:rPr>
        <w:t>c</w:t>
      </w:r>
      <w:r w:rsidR="007E4910" w:rsidRPr="001437A5">
        <w:rPr>
          <w:sz w:val="22"/>
          <w:szCs w:val="22"/>
          <w:lang w:val="es-ES"/>
        </w:rPr>
        <w:t>i</w:t>
      </w:r>
      <w:r w:rsidRPr="001437A5">
        <w:rPr>
          <w:sz w:val="22"/>
          <w:szCs w:val="22"/>
          <w:lang w:val="es-ES"/>
        </w:rPr>
        <w:t>emb</w:t>
      </w:r>
      <w:r w:rsidR="007E4910" w:rsidRPr="001437A5">
        <w:rPr>
          <w:sz w:val="22"/>
          <w:szCs w:val="22"/>
          <w:lang w:val="es-ES"/>
        </w:rPr>
        <w:t>r</w:t>
      </w:r>
      <w:r w:rsidRPr="001437A5">
        <w:rPr>
          <w:sz w:val="22"/>
          <w:szCs w:val="22"/>
          <w:lang w:val="es-ES"/>
        </w:rPr>
        <w:t>e</w:t>
      </w:r>
      <w:r w:rsidR="007E4910" w:rsidRPr="001437A5">
        <w:rPr>
          <w:sz w:val="22"/>
          <w:szCs w:val="22"/>
          <w:lang w:val="es-ES"/>
        </w:rPr>
        <w:t xml:space="preserve"> de</w:t>
      </w:r>
      <w:r w:rsidRPr="001437A5">
        <w:rPr>
          <w:sz w:val="22"/>
          <w:szCs w:val="22"/>
          <w:lang w:val="es-ES"/>
        </w:rPr>
        <w:t xml:space="preserve"> 2001</w:t>
      </w:r>
      <w:r w:rsidR="007E4910" w:rsidRPr="001437A5">
        <w:rPr>
          <w:sz w:val="22"/>
          <w:szCs w:val="22"/>
          <w:lang w:val="es-ES"/>
        </w:rPr>
        <w:t>,</w:t>
      </w:r>
      <w:r w:rsidRPr="001437A5">
        <w:rPr>
          <w:sz w:val="22"/>
          <w:szCs w:val="22"/>
          <w:lang w:val="es-ES"/>
        </w:rPr>
        <w:t xml:space="preserve"> </w:t>
      </w:r>
      <w:r w:rsidR="007E4910" w:rsidRPr="001437A5">
        <w:rPr>
          <w:sz w:val="22"/>
          <w:szCs w:val="22"/>
          <w:lang w:val="es-ES"/>
        </w:rPr>
        <w:t>relativo a la asistencia financiera de preadhesión a favor de Turquía</w:t>
      </w:r>
      <w:r w:rsidR="004B3D96" w:rsidRPr="001437A5">
        <w:rPr>
          <w:rStyle w:val="FootnoteReference"/>
          <w:sz w:val="22"/>
          <w:szCs w:val="22"/>
          <w:lang w:val="es-ES"/>
        </w:rPr>
        <w:footnoteReference w:id="19"/>
      </w:r>
      <w:r w:rsidR="004B3D96" w:rsidRPr="001437A5">
        <w:rPr>
          <w:sz w:val="22"/>
          <w:szCs w:val="22"/>
          <w:lang w:val="es-ES"/>
        </w:rPr>
        <w:t>,</w:t>
      </w:r>
      <w:r w:rsidRPr="001437A5">
        <w:rPr>
          <w:sz w:val="22"/>
          <w:szCs w:val="22"/>
          <w:lang w:val="es-ES"/>
        </w:rPr>
        <w:t xml:space="preserve"> </w:t>
      </w:r>
      <w:r w:rsidR="007E4910" w:rsidRPr="001437A5">
        <w:rPr>
          <w:sz w:val="22"/>
          <w:szCs w:val="22"/>
          <w:lang w:val="es-ES"/>
        </w:rPr>
        <w:t xml:space="preserve">modificado por </w:t>
      </w:r>
      <w:r w:rsidR="004B3D96" w:rsidRPr="001437A5">
        <w:rPr>
          <w:sz w:val="22"/>
          <w:szCs w:val="22"/>
          <w:lang w:val="es-ES"/>
        </w:rPr>
        <w:t>Reg</w:t>
      </w:r>
      <w:r w:rsidR="007E4910" w:rsidRPr="001437A5">
        <w:rPr>
          <w:sz w:val="22"/>
          <w:szCs w:val="22"/>
          <w:lang w:val="es-ES"/>
        </w:rPr>
        <w:t>lamento del Consejo</w:t>
      </w:r>
      <w:r w:rsidR="004B3D96" w:rsidRPr="001437A5">
        <w:rPr>
          <w:sz w:val="22"/>
          <w:szCs w:val="22"/>
          <w:lang w:val="es-ES"/>
        </w:rPr>
        <w:t xml:space="preserve"> </w:t>
      </w:r>
      <w:r w:rsidR="007E4910" w:rsidRPr="001437A5">
        <w:rPr>
          <w:sz w:val="22"/>
          <w:szCs w:val="22"/>
          <w:lang w:val="es-ES"/>
        </w:rPr>
        <w:t>relativo al acceso a la ayuda exterior comunitaria.</w:t>
      </w:r>
    </w:p>
    <w:p w:rsidR="004B3D96" w:rsidRPr="001437A5" w:rsidRDefault="004B3D96" w:rsidP="00776F45">
      <w:pPr>
        <w:spacing w:before="120" w:after="120"/>
        <w:ind w:left="993" w:hanging="993"/>
        <w:jc w:val="both"/>
        <w:rPr>
          <w:sz w:val="22"/>
          <w:szCs w:val="22"/>
          <w:lang w:val="es-ES"/>
        </w:rPr>
      </w:pPr>
      <w:r w:rsidRPr="001437A5">
        <w:rPr>
          <w:sz w:val="22"/>
          <w:szCs w:val="22"/>
          <w:lang w:val="es-ES"/>
        </w:rPr>
        <w:t xml:space="preserve">6) </w:t>
      </w:r>
      <w:r w:rsidRPr="001437A5">
        <w:rPr>
          <w:sz w:val="22"/>
          <w:szCs w:val="22"/>
          <w:lang w:val="es-ES"/>
        </w:rPr>
        <w:tab/>
      </w:r>
      <w:r w:rsidR="007E4910" w:rsidRPr="001437A5">
        <w:rPr>
          <w:sz w:val="22"/>
          <w:szCs w:val="22"/>
          <w:lang w:val="es-ES"/>
        </w:rPr>
        <w:t xml:space="preserve">Reglamento (CE) </w:t>
      </w:r>
      <w:r w:rsidR="002F7D00">
        <w:rPr>
          <w:sz w:val="22"/>
          <w:szCs w:val="22"/>
          <w:lang w:val="es-ES"/>
        </w:rPr>
        <w:t>n.º</w:t>
      </w:r>
      <w:r w:rsidRPr="001437A5">
        <w:rPr>
          <w:sz w:val="22"/>
          <w:szCs w:val="22"/>
          <w:lang w:val="es-ES"/>
        </w:rPr>
        <w:t xml:space="preserve"> 2666/2000 </w:t>
      </w:r>
      <w:r w:rsidR="007E4910" w:rsidRPr="001437A5">
        <w:rPr>
          <w:sz w:val="22"/>
          <w:szCs w:val="22"/>
          <w:lang w:val="es-ES"/>
        </w:rPr>
        <w:t>del Consejo, de</w:t>
      </w:r>
      <w:r w:rsidRPr="001437A5">
        <w:rPr>
          <w:sz w:val="22"/>
          <w:szCs w:val="22"/>
          <w:lang w:val="es-ES"/>
        </w:rPr>
        <w:t xml:space="preserve"> 5 </w:t>
      </w:r>
      <w:r w:rsidR="007E4910" w:rsidRPr="001437A5">
        <w:rPr>
          <w:sz w:val="22"/>
          <w:szCs w:val="22"/>
          <w:lang w:val="es-ES"/>
        </w:rPr>
        <w:t>de di</w:t>
      </w:r>
      <w:r w:rsidRPr="001437A5">
        <w:rPr>
          <w:sz w:val="22"/>
          <w:szCs w:val="22"/>
          <w:lang w:val="es-ES"/>
        </w:rPr>
        <w:t>c</w:t>
      </w:r>
      <w:r w:rsidR="007E4910" w:rsidRPr="001437A5">
        <w:rPr>
          <w:sz w:val="22"/>
          <w:szCs w:val="22"/>
          <w:lang w:val="es-ES"/>
        </w:rPr>
        <w:t>i</w:t>
      </w:r>
      <w:r w:rsidRPr="001437A5">
        <w:rPr>
          <w:sz w:val="22"/>
          <w:szCs w:val="22"/>
          <w:lang w:val="es-ES"/>
        </w:rPr>
        <w:t>emb</w:t>
      </w:r>
      <w:r w:rsidR="007E4910" w:rsidRPr="001437A5">
        <w:rPr>
          <w:sz w:val="22"/>
          <w:szCs w:val="22"/>
          <w:lang w:val="es-ES"/>
        </w:rPr>
        <w:t>re de</w:t>
      </w:r>
      <w:r w:rsidRPr="001437A5">
        <w:rPr>
          <w:sz w:val="22"/>
          <w:szCs w:val="22"/>
          <w:lang w:val="es-ES"/>
        </w:rPr>
        <w:t xml:space="preserve"> 2000 (CARDS)</w:t>
      </w:r>
      <w:r w:rsidR="007E4910" w:rsidRPr="001437A5">
        <w:rPr>
          <w:sz w:val="22"/>
          <w:szCs w:val="22"/>
          <w:lang w:val="es-ES"/>
        </w:rPr>
        <w:t>,</w:t>
      </w:r>
      <w:r w:rsidRPr="001437A5">
        <w:rPr>
          <w:sz w:val="22"/>
          <w:szCs w:val="22"/>
          <w:lang w:val="es-ES"/>
        </w:rPr>
        <w:t xml:space="preserve"> </w:t>
      </w:r>
      <w:r w:rsidR="007E4910" w:rsidRPr="001437A5">
        <w:rPr>
          <w:sz w:val="22"/>
          <w:szCs w:val="22"/>
          <w:lang w:val="es-ES"/>
        </w:rPr>
        <w:t>relativo a la ayuda a</w:t>
      </w:r>
      <w:r w:rsidRPr="001437A5">
        <w:rPr>
          <w:sz w:val="22"/>
          <w:szCs w:val="22"/>
          <w:lang w:val="es-ES"/>
        </w:rPr>
        <w:t xml:space="preserve"> Albania, Bosnia </w:t>
      </w:r>
      <w:r w:rsidR="007E4910" w:rsidRPr="001437A5">
        <w:rPr>
          <w:sz w:val="22"/>
          <w:szCs w:val="22"/>
          <w:lang w:val="es-ES"/>
        </w:rPr>
        <w:t>y</w:t>
      </w:r>
      <w:r w:rsidRPr="001437A5">
        <w:rPr>
          <w:sz w:val="22"/>
          <w:szCs w:val="22"/>
          <w:lang w:val="es-ES"/>
        </w:rPr>
        <w:t xml:space="preserve"> Herzegovina, Croa</w:t>
      </w:r>
      <w:r w:rsidR="007E4910" w:rsidRPr="001437A5">
        <w:rPr>
          <w:sz w:val="22"/>
          <w:szCs w:val="22"/>
          <w:lang w:val="es-ES"/>
        </w:rPr>
        <w:t>c</w:t>
      </w:r>
      <w:r w:rsidRPr="001437A5">
        <w:rPr>
          <w:sz w:val="22"/>
          <w:szCs w:val="22"/>
          <w:lang w:val="es-ES"/>
        </w:rPr>
        <w:t xml:space="preserve">ia, </w:t>
      </w:r>
      <w:r w:rsidR="007E4910" w:rsidRPr="001437A5">
        <w:rPr>
          <w:sz w:val="22"/>
          <w:szCs w:val="22"/>
          <w:lang w:val="es-ES"/>
        </w:rPr>
        <w:t xml:space="preserve">la República Federativa de Yugoslavia y la ex República Yugoslava de Macedonia, revocado por el Reglamento (CE) </w:t>
      </w:r>
      <w:r w:rsidR="002F7D00">
        <w:rPr>
          <w:sz w:val="22"/>
          <w:szCs w:val="22"/>
          <w:lang w:val="es-ES"/>
        </w:rPr>
        <w:t>n.º</w:t>
      </w:r>
      <w:r w:rsidRPr="001437A5">
        <w:rPr>
          <w:sz w:val="22"/>
          <w:szCs w:val="22"/>
          <w:lang w:val="es-ES"/>
        </w:rPr>
        <w:t xml:space="preserve"> 1628/96</w:t>
      </w:r>
      <w:r w:rsidRPr="001437A5">
        <w:rPr>
          <w:rStyle w:val="FootnoteReference"/>
          <w:sz w:val="22"/>
          <w:szCs w:val="22"/>
          <w:lang w:val="es-ES"/>
        </w:rPr>
        <w:footnoteReference w:id="20"/>
      </w:r>
      <w:r w:rsidRPr="001437A5">
        <w:rPr>
          <w:sz w:val="22"/>
          <w:szCs w:val="22"/>
          <w:lang w:val="es-ES"/>
        </w:rPr>
        <w:t>,</w:t>
      </w:r>
      <w:r w:rsidR="00F02E7F" w:rsidRPr="001437A5">
        <w:rPr>
          <w:sz w:val="22"/>
          <w:szCs w:val="22"/>
          <w:lang w:val="es-ES"/>
        </w:rPr>
        <w:t xml:space="preserve"> </w:t>
      </w:r>
      <w:r w:rsidR="007E4910" w:rsidRPr="001437A5">
        <w:rPr>
          <w:sz w:val="22"/>
          <w:szCs w:val="22"/>
          <w:lang w:val="es-ES"/>
        </w:rPr>
        <w:t>modificado por Reglamento del Consejo</w:t>
      </w:r>
      <w:r w:rsidRPr="001437A5">
        <w:rPr>
          <w:sz w:val="22"/>
          <w:szCs w:val="22"/>
          <w:lang w:val="es-ES"/>
        </w:rPr>
        <w:t xml:space="preserve"> </w:t>
      </w:r>
      <w:r w:rsidR="007E4910" w:rsidRPr="001437A5">
        <w:rPr>
          <w:sz w:val="22"/>
          <w:szCs w:val="22"/>
          <w:lang w:val="es-ES"/>
        </w:rPr>
        <w:t>relativo al acceso a la ayuda exterior comunitaria.</w:t>
      </w:r>
    </w:p>
    <w:p w:rsidR="004B3D96" w:rsidRPr="001437A5" w:rsidRDefault="004B3D96" w:rsidP="00776F45">
      <w:pPr>
        <w:spacing w:before="120" w:after="120"/>
        <w:ind w:left="993" w:hanging="993"/>
        <w:jc w:val="both"/>
        <w:rPr>
          <w:sz w:val="22"/>
          <w:szCs w:val="22"/>
          <w:lang w:val="es-ES"/>
        </w:rPr>
      </w:pPr>
      <w:r w:rsidRPr="001437A5">
        <w:rPr>
          <w:sz w:val="22"/>
          <w:szCs w:val="22"/>
          <w:lang w:val="es-ES"/>
        </w:rPr>
        <w:t>7)</w:t>
      </w:r>
      <w:r w:rsidRPr="001437A5">
        <w:rPr>
          <w:sz w:val="22"/>
          <w:szCs w:val="22"/>
          <w:lang w:val="es-ES"/>
        </w:rPr>
        <w:tab/>
        <w:t>Reg</w:t>
      </w:r>
      <w:r w:rsidR="007E4910" w:rsidRPr="001437A5">
        <w:rPr>
          <w:sz w:val="22"/>
          <w:szCs w:val="22"/>
          <w:lang w:val="es-ES"/>
        </w:rPr>
        <w:t>lamento</w:t>
      </w:r>
      <w:r w:rsidRPr="001437A5">
        <w:rPr>
          <w:sz w:val="22"/>
          <w:szCs w:val="22"/>
          <w:lang w:val="es-ES"/>
        </w:rPr>
        <w:t xml:space="preserve"> (C</w:t>
      </w:r>
      <w:r w:rsidR="00EB56C3" w:rsidRPr="001437A5">
        <w:rPr>
          <w:sz w:val="22"/>
          <w:szCs w:val="22"/>
          <w:lang w:val="es-ES"/>
        </w:rPr>
        <w:t>E</w:t>
      </w:r>
      <w:r w:rsidRPr="001437A5">
        <w:rPr>
          <w:sz w:val="22"/>
          <w:szCs w:val="22"/>
          <w:lang w:val="es-ES"/>
        </w:rPr>
        <w:t>, E</w:t>
      </w:r>
      <w:r w:rsidR="007E4910" w:rsidRPr="001437A5">
        <w:rPr>
          <w:sz w:val="22"/>
          <w:szCs w:val="22"/>
          <w:lang w:val="es-ES"/>
        </w:rPr>
        <w:t>uratom</w:t>
      </w:r>
      <w:r w:rsidRPr="001437A5">
        <w:rPr>
          <w:sz w:val="22"/>
          <w:szCs w:val="22"/>
          <w:lang w:val="es-ES"/>
        </w:rPr>
        <w:t xml:space="preserve">) </w:t>
      </w:r>
      <w:r w:rsidR="002F7D00">
        <w:rPr>
          <w:sz w:val="22"/>
          <w:szCs w:val="22"/>
          <w:lang w:val="es-ES"/>
        </w:rPr>
        <w:t>n.º</w:t>
      </w:r>
      <w:r w:rsidR="007E4910" w:rsidRPr="001437A5">
        <w:rPr>
          <w:sz w:val="22"/>
          <w:szCs w:val="22"/>
          <w:lang w:val="es-ES"/>
        </w:rPr>
        <w:t> </w:t>
      </w:r>
      <w:r w:rsidRPr="001437A5">
        <w:rPr>
          <w:sz w:val="22"/>
          <w:szCs w:val="22"/>
          <w:lang w:val="es-ES"/>
        </w:rPr>
        <w:t xml:space="preserve">99/2000 </w:t>
      </w:r>
      <w:r w:rsidR="007E4910" w:rsidRPr="001437A5">
        <w:rPr>
          <w:sz w:val="22"/>
          <w:szCs w:val="22"/>
          <w:lang w:val="es-ES"/>
        </w:rPr>
        <w:t>del Consejo, de</w:t>
      </w:r>
      <w:r w:rsidRPr="001437A5">
        <w:rPr>
          <w:sz w:val="22"/>
          <w:szCs w:val="22"/>
          <w:lang w:val="es-ES"/>
        </w:rPr>
        <w:t xml:space="preserve"> 29 </w:t>
      </w:r>
      <w:r w:rsidR="007E4910" w:rsidRPr="001437A5">
        <w:rPr>
          <w:sz w:val="22"/>
          <w:szCs w:val="22"/>
          <w:lang w:val="es-ES"/>
        </w:rPr>
        <w:t>de di</w:t>
      </w:r>
      <w:r w:rsidRPr="001437A5">
        <w:rPr>
          <w:sz w:val="22"/>
          <w:szCs w:val="22"/>
          <w:lang w:val="es-ES"/>
        </w:rPr>
        <w:t>c</w:t>
      </w:r>
      <w:r w:rsidR="007E4910" w:rsidRPr="001437A5">
        <w:rPr>
          <w:sz w:val="22"/>
          <w:szCs w:val="22"/>
          <w:lang w:val="es-ES"/>
        </w:rPr>
        <w:t>i</w:t>
      </w:r>
      <w:r w:rsidRPr="001437A5">
        <w:rPr>
          <w:sz w:val="22"/>
          <w:szCs w:val="22"/>
          <w:lang w:val="es-ES"/>
        </w:rPr>
        <w:t>emb</w:t>
      </w:r>
      <w:r w:rsidR="007E4910" w:rsidRPr="001437A5">
        <w:rPr>
          <w:sz w:val="22"/>
          <w:szCs w:val="22"/>
          <w:lang w:val="es-ES"/>
        </w:rPr>
        <w:t>r</w:t>
      </w:r>
      <w:r w:rsidRPr="001437A5">
        <w:rPr>
          <w:sz w:val="22"/>
          <w:szCs w:val="22"/>
          <w:lang w:val="es-ES"/>
        </w:rPr>
        <w:t>e</w:t>
      </w:r>
      <w:r w:rsidR="007E4910" w:rsidRPr="001437A5">
        <w:rPr>
          <w:sz w:val="22"/>
          <w:szCs w:val="22"/>
          <w:lang w:val="es-ES"/>
        </w:rPr>
        <w:t xml:space="preserve"> de</w:t>
      </w:r>
      <w:r w:rsidRPr="001437A5">
        <w:rPr>
          <w:sz w:val="22"/>
          <w:szCs w:val="22"/>
          <w:lang w:val="es-ES"/>
        </w:rPr>
        <w:t xml:space="preserve"> 1999 (TACIS)</w:t>
      </w:r>
      <w:r w:rsidR="007E4910" w:rsidRPr="001437A5">
        <w:rPr>
          <w:sz w:val="22"/>
          <w:szCs w:val="22"/>
          <w:lang w:val="es-ES"/>
        </w:rPr>
        <w:t xml:space="preserve">, relativo a la concesión de asistencia a los Estados socios de Europa Oriental y </w:t>
      </w:r>
      <w:r w:rsidRPr="001437A5">
        <w:rPr>
          <w:sz w:val="22"/>
          <w:szCs w:val="22"/>
          <w:lang w:val="es-ES"/>
        </w:rPr>
        <w:t>Asia</w:t>
      </w:r>
      <w:r w:rsidR="007E4910" w:rsidRPr="001437A5">
        <w:rPr>
          <w:sz w:val="22"/>
          <w:szCs w:val="22"/>
          <w:lang w:val="es-ES"/>
        </w:rPr>
        <w:t xml:space="preserve"> Central</w:t>
      </w:r>
      <w:r w:rsidRPr="001437A5">
        <w:rPr>
          <w:rStyle w:val="FootnoteReference"/>
          <w:sz w:val="22"/>
          <w:szCs w:val="22"/>
          <w:lang w:val="es-ES"/>
        </w:rPr>
        <w:footnoteReference w:id="21"/>
      </w:r>
      <w:r w:rsidRPr="001437A5">
        <w:rPr>
          <w:sz w:val="22"/>
          <w:szCs w:val="22"/>
          <w:lang w:val="es-ES"/>
        </w:rPr>
        <w:t xml:space="preserve">, </w:t>
      </w:r>
      <w:r w:rsidR="007E4910" w:rsidRPr="001437A5">
        <w:rPr>
          <w:sz w:val="22"/>
          <w:szCs w:val="22"/>
          <w:lang w:val="es-ES"/>
        </w:rPr>
        <w:t>modificado por</w:t>
      </w:r>
      <w:r w:rsidRPr="001437A5">
        <w:rPr>
          <w:sz w:val="22"/>
          <w:szCs w:val="22"/>
          <w:lang w:val="es-ES"/>
        </w:rPr>
        <w:t xml:space="preserve"> </w:t>
      </w:r>
      <w:r w:rsidR="007E4910" w:rsidRPr="001437A5">
        <w:rPr>
          <w:sz w:val="22"/>
          <w:szCs w:val="22"/>
          <w:lang w:val="es-ES"/>
        </w:rPr>
        <w:t>Reglamento del Consejo</w:t>
      </w:r>
      <w:r w:rsidRPr="001437A5">
        <w:rPr>
          <w:sz w:val="22"/>
          <w:szCs w:val="22"/>
          <w:lang w:val="es-ES"/>
        </w:rPr>
        <w:t xml:space="preserve"> </w:t>
      </w:r>
      <w:r w:rsidR="007E4910" w:rsidRPr="001437A5">
        <w:rPr>
          <w:sz w:val="22"/>
          <w:szCs w:val="22"/>
          <w:lang w:val="es-ES"/>
        </w:rPr>
        <w:t>relativo al acceso a la ayuda exterior comunitaria.</w:t>
      </w:r>
    </w:p>
    <w:p w:rsidR="00F02E7F" w:rsidRPr="001437A5" w:rsidRDefault="004B3D96" w:rsidP="00776F45">
      <w:pPr>
        <w:spacing w:before="120" w:after="120"/>
        <w:ind w:left="993" w:hanging="993"/>
        <w:jc w:val="both"/>
        <w:rPr>
          <w:sz w:val="22"/>
          <w:szCs w:val="22"/>
          <w:lang w:val="es-ES"/>
        </w:rPr>
      </w:pPr>
      <w:r w:rsidRPr="001437A5">
        <w:rPr>
          <w:sz w:val="22"/>
          <w:szCs w:val="22"/>
          <w:lang w:val="es-ES"/>
        </w:rPr>
        <w:t>8)</w:t>
      </w:r>
      <w:r w:rsidRPr="001437A5">
        <w:rPr>
          <w:sz w:val="22"/>
          <w:szCs w:val="22"/>
          <w:lang w:val="es-ES"/>
        </w:rPr>
        <w:tab/>
      </w:r>
      <w:r w:rsidR="007E4910" w:rsidRPr="001437A5">
        <w:rPr>
          <w:sz w:val="22"/>
          <w:szCs w:val="22"/>
          <w:lang w:val="es-ES"/>
        </w:rPr>
        <w:t xml:space="preserve">Reglamento (CE) </w:t>
      </w:r>
      <w:r w:rsidR="002F7D00">
        <w:rPr>
          <w:sz w:val="22"/>
          <w:szCs w:val="22"/>
          <w:lang w:val="es-ES"/>
        </w:rPr>
        <w:t>n.º</w:t>
      </w:r>
      <w:r w:rsidR="007E4910" w:rsidRPr="001437A5">
        <w:rPr>
          <w:sz w:val="22"/>
          <w:szCs w:val="22"/>
          <w:lang w:val="es-ES"/>
        </w:rPr>
        <w:t> </w:t>
      </w:r>
      <w:r w:rsidRPr="001437A5">
        <w:rPr>
          <w:sz w:val="22"/>
          <w:szCs w:val="22"/>
          <w:lang w:val="es-ES"/>
        </w:rPr>
        <w:t>1267/1999</w:t>
      </w:r>
      <w:r w:rsidR="007E4910" w:rsidRPr="001437A5">
        <w:rPr>
          <w:sz w:val="22"/>
          <w:szCs w:val="22"/>
          <w:lang w:val="es-ES"/>
        </w:rPr>
        <w:t xml:space="preserve"> del Consejo, de</w:t>
      </w:r>
      <w:r w:rsidRPr="001437A5">
        <w:rPr>
          <w:sz w:val="22"/>
          <w:szCs w:val="22"/>
          <w:lang w:val="es-ES"/>
        </w:rPr>
        <w:t xml:space="preserve"> 21 </w:t>
      </w:r>
      <w:r w:rsidR="007E4910" w:rsidRPr="001437A5">
        <w:rPr>
          <w:sz w:val="22"/>
          <w:szCs w:val="22"/>
          <w:lang w:val="es-ES"/>
        </w:rPr>
        <w:t>j</w:t>
      </w:r>
      <w:r w:rsidRPr="001437A5">
        <w:rPr>
          <w:sz w:val="22"/>
          <w:szCs w:val="22"/>
          <w:lang w:val="es-ES"/>
        </w:rPr>
        <w:t>un</w:t>
      </w:r>
      <w:r w:rsidR="007E4910" w:rsidRPr="001437A5">
        <w:rPr>
          <w:sz w:val="22"/>
          <w:szCs w:val="22"/>
          <w:lang w:val="es-ES"/>
        </w:rPr>
        <w:t>io d</w:t>
      </w:r>
      <w:r w:rsidRPr="001437A5">
        <w:rPr>
          <w:sz w:val="22"/>
          <w:szCs w:val="22"/>
          <w:lang w:val="es-ES"/>
        </w:rPr>
        <w:t>e 1999</w:t>
      </w:r>
      <w:r w:rsidR="007E4910" w:rsidRPr="001437A5">
        <w:rPr>
          <w:sz w:val="22"/>
          <w:szCs w:val="22"/>
          <w:lang w:val="es-ES"/>
        </w:rPr>
        <w:t>,</w:t>
      </w:r>
      <w:r w:rsidRPr="001437A5">
        <w:rPr>
          <w:sz w:val="22"/>
          <w:szCs w:val="22"/>
          <w:lang w:val="es-ES"/>
        </w:rPr>
        <w:t xml:space="preserve"> </w:t>
      </w:r>
      <w:r w:rsidR="007E4910" w:rsidRPr="001437A5">
        <w:rPr>
          <w:sz w:val="22"/>
          <w:szCs w:val="22"/>
          <w:lang w:val="es-ES"/>
        </w:rPr>
        <w:t>por el que se crea un instrumento de política estructural de preadhesión</w:t>
      </w:r>
      <w:r w:rsidRPr="001437A5">
        <w:rPr>
          <w:rStyle w:val="FootnoteReference"/>
          <w:sz w:val="22"/>
          <w:szCs w:val="22"/>
          <w:lang w:val="es-ES"/>
        </w:rPr>
        <w:footnoteReference w:id="22"/>
      </w:r>
      <w:r w:rsidRPr="001437A5">
        <w:rPr>
          <w:sz w:val="22"/>
          <w:szCs w:val="22"/>
          <w:lang w:val="es-ES"/>
        </w:rPr>
        <w:t xml:space="preserve">, </w:t>
      </w:r>
      <w:r w:rsidR="007E4910" w:rsidRPr="001437A5">
        <w:rPr>
          <w:sz w:val="22"/>
          <w:szCs w:val="22"/>
          <w:lang w:val="es-ES"/>
        </w:rPr>
        <w:t>modificado por Reglamento del Consejo</w:t>
      </w:r>
      <w:r w:rsidRPr="001437A5">
        <w:rPr>
          <w:sz w:val="22"/>
          <w:szCs w:val="22"/>
          <w:lang w:val="es-ES"/>
        </w:rPr>
        <w:t xml:space="preserve"> </w:t>
      </w:r>
      <w:r w:rsidR="007E4910" w:rsidRPr="001437A5">
        <w:rPr>
          <w:sz w:val="22"/>
          <w:szCs w:val="22"/>
          <w:lang w:val="es-ES"/>
        </w:rPr>
        <w:t>relativo al acceso a la ayuda exterior comunitaria.</w:t>
      </w:r>
    </w:p>
    <w:p w:rsidR="00C207ED" w:rsidRPr="001437A5" w:rsidRDefault="007F666C" w:rsidP="00776F45">
      <w:pPr>
        <w:spacing w:before="120" w:after="120"/>
        <w:ind w:left="993" w:hanging="993"/>
        <w:jc w:val="both"/>
        <w:rPr>
          <w:sz w:val="22"/>
          <w:szCs w:val="22"/>
          <w:lang w:val="es-ES"/>
        </w:rPr>
      </w:pPr>
      <w:r w:rsidRPr="001437A5">
        <w:rPr>
          <w:sz w:val="22"/>
          <w:szCs w:val="22"/>
          <w:lang w:val="es-ES"/>
        </w:rPr>
        <w:lastRenderedPageBreak/>
        <w:t xml:space="preserve">9) </w:t>
      </w:r>
      <w:r w:rsidRPr="001437A5">
        <w:rPr>
          <w:sz w:val="22"/>
          <w:szCs w:val="22"/>
          <w:lang w:val="es-ES"/>
        </w:rPr>
        <w:tab/>
      </w:r>
      <w:r w:rsidR="007E4910" w:rsidRPr="001437A5">
        <w:rPr>
          <w:sz w:val="22"/>
          <w:szCs w:val="22"/>
          <w:lang w:val="es-ES"/>
        </w:rPr>
        <w:t xml:space="preserve">Reglamento (CE) </w:t>
      </w:r>
      <w:r w:rsidR="002F7D00">
        <w:rPr>
          <w:sz w:val="22"/>
          <w:szCs w:val="22"/>
          <w:lang w:val="es-ES"/>
        </w:rPr>
        <w:t>n.º</w:t>
      </w:r>
      <w:r w:rsidR="00EB56C3">
        <w:rPr>
          <w:sz w:val="22"/>
          <w:szCs w:val="22"/>
          <w:lang w:val="es-ES"/>
        </w:rPr>
        <w:t> </w:t>
      </w:r>
      <w:r w:rsidRPr="001437A5">
        <w:rPr>
          <w:sz w:val="22"/>
          <w:szCs w:val="22"/>
          <w:lang w:val="es-ES"/>
        </w:rPr>
        <w:t>1268/1999</w:t>
      </w:r>
      <w:r w:rsidR="007E4910" w:rsidRPr="001437A5">
        <w:rPr>
          <w:sz w:val="22"/>
          <w:szCs w:val="22"/>
          <w:lang w:val="es-ES"/>
        </w:rPr>
        <w:t xml:space="preserve"> del Consejo, de</w:t>
      </w:r>
      <w:r w:rsidRPr="001437A5">
        <w:rPr>
          <w:sz w:val="22"/>
          <w:szCs w:val="22"/>
          <w:lang w:val="es-ES"/>
        </w:rPr>
        <w:t xml:space="preserve"> 21 </w:t>
      </w:r>
      <w:r w:rsidR="007E4910" w:rsidRPr="001437A5">
        <w:rPr>
          <w:sz w:val="22"/>
          <w:szCs w:val="22"/>
          <w:lang w:val="es-ES"/>
        </w:rPr>
        <w:t>de j</w:t>
      </w:r>
      <w:r w:rsidRPr="001437A5">
        <w:rPr>
          <w:sz w:val="22"/>
          <w:szCs w:val="22"/>
          <w:lang w:val="es-ES"/>
        </w:rPr>
        <w:t>un</w:t>
      </w:r>
      <w:r w:rsidR="007E4910" w:rsidRPr="001437A5">
        <w:rPr>
          <w:sz w:val="22"/>
          <w:szCs w:val="22"/>
          <w:lang w:val="es-ES"/>
        </w:rPr>
        <w:t>io d</w:t>
      </w:r>
      <w:r w:rsidRPr="001437A5">
        <w:rPr>
          <w:sz w:val="22"/>
          <w:szCs w:val="22"/>
          <w:lang w:val="es-ES"/>
        </w:rPr>
        <w:t>e 1999</w:t>
      </w:r>
      <w:r w:rsidR="007E4910" w:rsidRPr="001437A5">
        <w:rPr>
          <w:sz w:val="22"/>
          <w:szCs w:val="22"/>
          <w:lang w:val="es-ES"/>
        </w:rPr>
        <w:t>,</w:t>
      </w:r>
      <w:r w:rsidRPr="001437A5">
        <w:rPr>
          <w:sz w:val="22"/>
          <w:szCs w:val="22"/>
          <w:lang w:val="es-ES"/>
        </w:rPr>
        <w:t xml:space="preserve"> </w:t>
      </w:r>
      <w:r w:rsidR="007E4910" w:rsidRPr="001437A5">
        <w:rPr>
          <w:sz w:val="22"/>
          <w:szCs w:val="22"/>
          <w:lang w:val="es-ES"/>
        </w:rPr>
        <w:t xml:space="preserve">relativo a la ayuda comunitaria para la aplicación de medidas de preadhesión en los sectores de la agricultura y el desarrollo rural de los países candidatos </w:t>
      </w:r>
      <w:r w:rsidRPr="001437A5">
        <w:rPr>
          <w:sz w:val="22"/>
          <w:szCs w:val="22"/>
          <w:lang w:val="es-ES"/>
        </w:rPr>
        <w:t>d</w:t>
      </w:r>
      <w:r w:rsidR="007E4910" w:rsidRPr="001437A5">
        <w:rPr>
          <w:sz w:val="22"/>
          <w:szCs w:val="22"/>
          <w:lang w:val="es-ES"/>
        </w:rPr>
        <w:t>e la Europa Central y Oriental durante el período de preadhesión</w:t>
      </w:r>
      <w:r w:rsidRPr="001437A5">
        <w:rPr>
          <w:rStyle w:val="FootnoteReference"/>
          <w:sz w:val="22"/>
          <w:szCs w:val="22"/>
          <w:lang w:val="es-ES"/>
        </w:rPr>
        <w:footnoteReference w:id="23"/>
      </w:r>
      <w:r w:rsidRPr="001437A5">
        <w:rPr>
          <w:sz w:val="22"/>
          <w:szCs w:val="22"/>
          <w:lang w:val="es-ES"/>
        </w:rPr>
        <w:t xml:space="preserve">, </w:t>
      </w:r>
      <w:r w:rsidR="007E4910" w:rsidRPr="001437A5">
        <w:rPr>
          <w:sz w:val="22"/>
          <w:szCs w:val="22"/>
          <w:lang w:val="es-ES"/>
        </w:rPr>
        <w:t>modificado por Reglamento del Consejo</w:t>
      </w:r>
      <w:r w:rsidRPr="001437A5">
        <w:rPr>
          <w:sz w:val="22"/>
          <w:szCs w:val="22"/>
          <w:lang w:val="es-ES"/>
        </w:rPr>
        <w:t xml:space="preserve"> </w:t>
      </w:r>
      <w:r w:rsidR="007E4910" w:rsidRPr="001437A5">
        <w:rPr>
          <w:sz w:val="22"/>
          <w:szCs w:val="22"/>
          <w:lang w:val="es-ES"/>
        </w:rPr>
        <w:t>relativo al acceso a la ayuda exterior comunitaria.</w:t>
      </w:r>
    </w:p>
    <w:p w:rsidR="007F666C" w:rsidRPr="001437A5" w:rsidRDefault="007F666C" w:rsidP="00776F45">
      <w:pPr>
        <w:spacing w:before="120" w:after="120"/>
        <w:ind w:left="993" w:hanging="993"/>
        <w:jc w:val="both"/>
        <w:rPr>
          <w:sz w:val="22"/>
          <w:szCs w:val="22"/>
          <w:lang w:val="es-ES"/>
        </w:rPr>
      </w:pPr>
      <w:r w:rsidRPr="001437A5">
        <w:rPr>
          <w:sz w:val="22"/>
          <w:szCs w:val="22"/>
          <w:lang w:val="es-ES"/>
        </w:rPr>
        <w:t>10)</w:t>
      </w:r>
      <w:r w:rsidRPr="001437A5">
        <w:rPr>
          <w:sz w:val="22"/>
          <w:szCs w:val="22"/>
          <w:lang w:val="es-ES"/>
        </w:rPr>
        <w:tab/>
      </w:r>
      <w:r w:rsidR="00AD1FF5" w:rsidRPr="001437A5">
        <w:rPr>
          <w:sz w:val="22"/>
          <w:szCs w:val="22"/>
          <w:lang w:val="es-ES"/>
        </w:rPr>
        <w:t>Reg</w:t>
      </w:r>
      <w:r w:rsidR="00656053" w:rsidRPr="001437A5">
        <w:rPr>
          <w:sz w:val="22"/>
          <w:szCs w:val="22"/>
          <w:lang w:val="es-ES"/>
        </w:rPr>
        <w:t>lamento</w:t>
      </w:r>
      <w:r w:rsidR="00AD1FF5" w:rsidRPr="001437A5">
        <w:rPr>
          <w:sz w:val="22"/>
          <w:szCs w:val="22"/>
          <w:lang w:val="es-ES"/>
        </w:rPr>
        <w:t xml:space="preserve"> (</w:t>
      </w:r>
      <w:r w:rsidR="007E4910" w:rsidRPr="001437A5">
        <w:rPr>
          <w:sz w:val="22"/>
          <w:szCs w:val="22"/>
          <w:lang w:val="es-ES"/>
        </w:rPr>
        <w:t>C</w:t>
      </w:r>
      <w:r w:rsidR="00AD1FF5" w:rsidRPr="001437A5">
        <w:rPr>
          <w:sz w:val="22"/>
          <w:szCs w:val="22"/>
          <w:lang w:val="es-ES"/>
        </w:rPr>
        <w:t>E</w:t>
      </w:r>
      <w:r w:rsidR="00ED444D" w:rsidRPr="001437A5">
        <w:rPr>
          <w:sz w:val="22"/>
          <w:szCs w:val="22"/>
          <w:lang w:val="es-ES"/>
        </w:rPr>
        <w:t>E</w:t>
      </w:r>
      <w:r w:rsidR="00AD1FF5" w:rsidRPr="001437A5">
        <w:rPr>
          <w:sz w:val="22"/>
          <w:szCs w:val="22"/>
          <w:lang w:val="es-ES"/>
        </w:rPr>
        <w:t xml:space="preserve">) </w:t>
      </w:r>
      <w:r w:rsidR="002F7D00">
        <w:rPr>
          <w:sz w:val="22"/>
          <w:szCs w:val="22"/>
          <w:lang w:val="es-ES"/>
        </w:rPr>
        <w:t>n.º</w:t>
      </w:r>
      <w:r w:rsidR="007E4910" w:rsidRPr="001437A5">
        <w:rPr>
          <w:sz w:val="22"/>
          <w:szCs w:val="22"/>
          <w:lang w:val="es-ES"/>
        </w:rPr>
        <w:t> </w:t>
      </w:r>
      <w:r w:rsidR="00AD1FF5" w:rsidRPr="001437A5">
        <w:rPr>
          <w:sz w:val="22"/>
          <w:szCs w:val="22"/>
          <w:lang w:val="es-ES"/>
        </w:rPr>
        <w:t>1488/96</w:t>
      </w:r>
      <w:r w:rsidR="007E4910" w:rsidRPr="001437A5">
        <w:rPr>
          <w:sz w:val="22"/>
          <w:szCs w:val="22"/>
          <w:lang w:val="es-ES"/>
        </w:rPr>
        <w:t xml:space="preserve"> del Consejo, de</w:t>
      </w:r>
      <w:r w:rsidR="00AD1FF5" w:rsidRPr="001437A5">
        <w:rPr>
          <w:sz w:val="22"/>
          <w:szCs w:val="22"/>
          <w:lang w:val="es-ES"/>
        </w:rPr>
        <w:t xml:space="preserve"> 23 </w:t>
      </w:r>
      <w:r w:rsidR="00D379F8" w:rsidRPr="001437A5">
        <w:rPr>
          <w:sz w:val="22"/>
          <w:szCs w:val="22"/>
          <w:lang w:val="es-ES"/>
        </w:rPr>
        <w:t>de julio</w:t>
      </w:r>
      <w:r w:rsidR="00AD1FF5" w:rsidRPr="001437A5">
        <w:rPr>
          <w:sz w:val="22"/>
          <w:szCs w:val="22"/>
          <w:lang w:val="es-ES"/>
        </w:rPr>
        <w:t xml:space="preserve"> </w:t>
      </w:r>
      <w:r w:rsidR="007E4910" w:rsidRPr="001437A5">
        <w:rPr>
          <w:sz w:val="22"/>
          <w:szCs w:val="22"/>
          <w:lang w:val="es-ES"/>
        </w:rPr>
        <w:t xml:space="preserve">de </w:t>
      </w:r>
      <w:r w:rsidR="00AD1FF5" w:rsidRPr="001437A5">
        <w:rPr>
          <w:sz w:val="22"/>
          <w:szCs w:val="22"/>
          <w:lang w:val="es-ES"/>
        </w:rPr>
        <w:t>1996</w:t>
      </w:r>
      <w:r w:rsidR="007E4910" w:rsidRPr="001437A5">
        <w:rPr>
          <w:sz w:val="22"/>
          <w:szCs w:val="22"/>
          <w:lang w:val="es-ES"/>
        </w:rPr>
        <w:t>,</w:t>
      </w:r>
      <w:r w:rsidR="00AD1FF5" w:rsidRPr="001437A5">
        <w:rPr>
          <w:sz w:val="22"/>
          <w:szCs w:val="22"/>
          <w:lang w:val="es-ES"/>
        </w:rPr>
        <w:t xml:space="preserve"> </w:t>
      </w:r>
      <w:r w:rsidR="007E4910" w:rsidRPr="001437A5">
        <w:rPr>
          <w:sz w:val="22"/>
          <w:szCs w:val="22"/>
          <w:lang w:val="es-ES"/>
        </w:rPr>
        <w:t xml:space="preserve">relativo a las medidas de </w:t>
      </w:r>
      <w:r w:rsidR="00D379F8" w:rsidRPr="001437A5">
        <w:rPr>
          <w:sz w:val="22"/>
          <w:szCs w:val="22"/>
          <w:lang w:val="es-ES"/>
        </w:rPr>
        <w:t>acompañamiento</w:t>
      </w:r>
      <w:r w:rsidR="007E4910" w:rsidRPr="001437A5">
        <w:rPr>
          <w:sz w:val="22"/>
          <w:szCs w:val="22"/>
          <w:lang w:val="es-ES"/>
        </w:rPr>
        <w:t xml:space="preserve"> financieras y técnicas (MEDA) de las reformas de las estructuras económicas y sociales en el arco de la colaboración euro mediterránea</w:t>
      </w:r>
      <w:r w:rsidR="00AD1FF5" w:rsidRPr="001437A5">
        <w:rPr>
          <w:rStyle w:val="FootnoteReference"/>
          <w:sz w:val="22"/>
          <w:szCs w:val="22"/>
          <w:lang w:val="es-ES"/>
        </w:rPr>
        <w:footnoteReference w:id="24"/>
      </w:r>
      <w:r w:rsidR="00AD1FF5" w:rsidRPr="001437A5">
        <w:rPr>
          <w:sz w:val="22"/>
          <w:szCs w:val="22"/>
          <w:lang w:val="es-ES"/>
        </w:rPr>
        <w:t xml:space="preserve">, </w:t>
      </w:r>
      <w:r w:rsidR="007E4910" w:rsidRPr="001437A5">
        <w:rPr>
          <w:sz w:val="22"/>
          <w:szCs w:val="22"/>
          <w:lang w:val="es-ES"/>
        </w:rPr>
        <w:t>modificado por Reglamento del Consejo</w:t>
      </w:r>
      <w:r w:rsidR="00AD1FF5" w:rsidRPr="001437A5">
        <w:rPr>
          <w:sz w:val="22"/>
          <w:szCs w:val="22"/>
          <w:lang w:val="es-ES"/>
        </w:rPr>
        <w:t xml:space="preserve"> </w:t>
      </w:r>
      <w:r w:rsidR="007E4910" w:rsidRPr="001437A5">
        <w:rPr>
          <w:sz w:val="22"/>
          <w:szCs w:val="22"/>
          <w:lang w:val="es-ES"/>
        </w:rPr>
        <w:t>relativo al acceso a la ayuda exterior comunitaria.</w:t>
      </w:r>
    </w:p>
    <w:p w:rsidR="00ED444D" w:rsidRPr="001437A5" w:rsidRDefault="00ED444D" w:rsidP="00776F45">
      <w:pPr>
        <w:spacing w:before="120" w:after="120"/>
        <w:ind w:left="993" w:hanging="993"/>
        <w:jc w:val="both"/>
        <w:rPr>
          <w:sz w:val="22"/>
          <w:szCs w:val="22"/>
          <w:lang w:val="es-ES"/>
        </w:rPr>
      </w:pPr>
      <w:r w:rsidRPr="001437A5">
        <w:rPr>
          <w:sz w:val="22"/>
          <w:szCs w:val="22"/>
          <w:lang w:val="es-ES"/>
        </w:rPr>
        <w:t>11)</w:t>
      </w:r>
      <w:r w:rsidRPr="001437A5">
        <w:rPr>
          <w:sz w:val="22"/>
          <w:szCs w:val="22"/>
          <w:lang w:val="es-ES"/>
        </w:rPr>
        <w:tab/>
      </w:r>
      <w:r w:rsidR="007E4910" w:rsidRPr="001437A5">
        <w:rPr>
          <w:sz w:val="22"/>
          <w:szCs w:val="22"/>
          <w:lang w:val="es-ES"/>
        </w:rPr>
        <w:t>Reglamento (CEE)</w:t>
      </w:r>
      <w:r w:rsidRPr="001437A5">
        <w:rPr>
          <w:sz w:val="22"/>
          <w:szCs w:val="22"/>
          <w:lang w:val="es-ES"/>
        </w:rPr>
        <w:t xml:space="preserve"> </w:t>
      </w:r>
      <w:r w:rsidR="002F7D00">
        <w:rPr>
          <w:sz w:val="22"/>
          <w:szCs w:val="22"/>
          <w:lang w:val="es-ES"/>
        </w:rPr>
        <w:t>n.º</w:t>
      </w:r>
      <w:r w:rsidR="007E4910" w:rsidRPr="001437A5">
        <w:rPr>
          <w:sz w:val="22"/>
          <w:szCs w:val="22"/>
          <w:lang w:val="es-ES"/>
        </w:rPr>
        <w:t> </w:t>
      </w:r>
      <w:r w:rsidRPr="001437A5">
        <w:rPr>
          <w:bCs/>
          <w:sz w:val="22"/>
          <w:szCs w:val="22"/>
          <w:shd w:val="clear" w:color="auto" w:fill="FEFAEB"/>
          <w:lang w:val="es-ES"/>
        </w:rPr>
        <w:t>1762</w:t>
      </w:r>
      <w:r w:rsidRPr="001437A5">
        <w:rPr>
          <w:sz w:val="22"/>
          <w:szCs w:val="22"/>
          <w:lang w:val="es-ES"/>
        </w:rPr>
        <w:t>/</w:t>
      </w:r>
      <w:r w:rsidRPr="001437A5">
        <w:rPr>
          <w:bCs/>
          <w:sz w:val="22"/>
          <w:szCs w:val="22"/>
          <w:shd w:val="clear" w:color="auto" w:fill="FEFAEB"/>
          <w:lang w:val="es-ES"/>
        </w:rPr>
        <w:t>92</w:t>
      </w:r>
      <w:r w:rsidRPr="001437A5">
        <w:rPr>
          <w:sz w:val="22"/>
          <w:szCs w:val="22"/>
          <w:lang w:val="es-ES"/>
        </w:rPr>
        <w:t xml:space="preserve"> </w:t>
      </w:r>
      <w:r w:rsidR="007E4910" w:rsidRPr="001437A5">
        <w:rPr>
          <w:sz w:val="22"/>
          <w:szCs w:val="22"/>
          <w:lang w:val="es-ES"/>
        </w:rPr>
        <w:t>del Consejo, de</w:t>
      </w:r>
      <w:r w:rsidRPr="001437A5">
        <w:rPr>
          <w:sz w:val="22"/>
          <w:szCs w:val="22"/>
          <w:lang w:val="es-ES"/>
        </w:rPr>
        <w:t xml:space="preserve"> 29 </w:t>
      </w:r>
      <w:r w:rsidR="007E4910" w:rsidRPr="001437A5">
        <w:rPr>
          <w:sz w:val="22"/>
          <w:szCs w:val="22"/>
          <w:lang w:val="es-ES"/>
        </w:rPr>
        <w:t>de j</w:t>
      </w:r>
      <w:r w:rsidRPr="001437A5">
        <w:rPr>
          <w:sz w:val="22"/>
          <w:szCs w:val="22"/>
          <w:lang w:val="es-ES"/>
        </w:rPr>
        <w:t>un</w:t>
      </w:r>
      <w:r w:rsidR="007E4910" w:rsidRPr="001437A5">
        <w:rPr>
          <w:sz w:val="22"/>
          <w:szCs w:val="22"/>
          <w:lang w:val="es-ES"/>
        </w:rPr>
        <w:t>io de</w:t>
      </w:r>
      <w:r w:rsidRPr="001437A5">
        <w:rPr>
          <w:sz w:val="22"/>
          <w:szCs w:val="22"/>
          <w:lang w:val="es-ES"/>
        </w:rPr>
        <w:t xml:space="preserve"> 1992 (MEDA)</w:t>
      </w:r>
      <w:r w:rsidR="007E4910" w:rsidRPr="001437A5">
        <w:rPr>
          <w:sz w:val="22"/>
          <w:szCs w:val="22"/>
          <w:lang w:val="es-ES"/>
        </w:rPr>
        <w:t xml:space="preserve">, relativo a la </w:t>
      </w:r>
      <w:r w:rsidR="00656053" w:rsidRPr="001437A5">
        <w:rPr>
          <w:sz w:val="22"/>
          <w:szCs w:val="22"/>
          <w:lang w:val="es-ES"/>
        </w:rPr>
        <w:t>aplicación</w:t>
      </w:r>
      <w:r w:rsidR="007E4910" w:rsidRPr="001437A5">
        <w:rPr>
          <w:sz w:val="22"/>
          <w:szCs w:val="22"/>
          <w:lang w:val="es-ES"/>
        </w:rPr>
        <w:t xml:space="preserve"> de los protocolos de cooperación financiera y técnica elaborados por la Comunidad de terceros países mediterráneos</w:t>
      </w:r>
      <w:r w:rsidRPr="001437A5">
        <w:rPr>
          <w:rStyle w:val="FootnoteReference"/>
          <w:sz w:val="22"/>
          <w:szCs w:val="22"/>
          <w:lang w:val="es-ES"/>
        </w:rPr>
        <w:footnoteReference w:id="25"/>
      </w:r>
      <w:r w:rsidRPr="001437A5">
        <w:rPr>
          <w:sz w:val="22"/>
          <w:szCs w:val="22"/>
          <w:lang w:val="es-ES"/>
        </w:rPr>
        <w:t xml:space="preserve">, </w:t>
      </w:r>
      <w:r w:rsidR="007E4910" w:rsidRPr="001437A5">
        <w:rPr>
          <w:sz w:val="22"/>
          <w:szCs w:val="22"/>
          <w:lang w:val="es-ES"/>
        </w:rPr>
        <w:t>modificado por Reglamento del Consejo</w:t>
      </w:r>
      <w:r w:rsidRPr="001437A5">
        <w:rPr>
          <w:sz w:val="22"/>
          <w:szCs w:val="22"/>
          <w:lang w:val="es-ES"/>
        </w:rPr>
        <w:t xml:space="preserve"> </w:t>
      </w:r>
      <w:r w:rsidR="007E4910" w:rsidRPr="001437A5">
        <w:rPr>
          <w:sz w:val="22"/>
          <w:szCs w:val="22"/>
          <w:lang w:val="es-ES"/>
        </w:rPr>
        <w:t>relativo al acceso a la ayuda exterior comunitaria.</w:t>
      </w:r>
    </w:p>
    <w:p w:rsidR="00ED444D" w:rsidRPr="001437A5" w:rsidRDefault="00ED444D" w:rsidP="00776F45">
      <w:pPr>
        <w:spacing w:before="120" w:after="120"/>
        <w:ind w:left="993" w:hanging="993"/>
        <w:jc w:val="both"/>
        <w:rPr>
          <w:sz w:val="22"/>
          <w:szCs w:val="22"/>
          <w:lang w:val="es-ES"/>
        </w:rPr>
      </w:pPr>
      <w:r w:rsidRPr="001437A5">
        <w:rPr>
          <w:sz w:val="22"/>
          <w:szCs w:val="22"/>
          <w:lang w:val="es-ES"/>
        </w:rPr>
        <w:t>12)</w:t>
      </w:r>
      <w:r w:rsidRPr="001437A5">
        <w:rPr>
          <w:sz w:val="22"/>
          <w:szCs w:val="22"/>
          <w:lang w:val="es-ES"/>
        </w:rPr>
        <w:tab/>
      </w:r>
      <w:r w:rsidR="007E4910" w:rsidRPr="001437A5">
        <w:rPr>
          <w:sz w:val="22"/>
          <w:szCs w:val="22"/>
          <w:lang w:val="es-ES"/>
        </w:rPr>
        <w:t>Reglamento (CEE)</w:t>
      </w:r>
      <w:r w:rsidRPr="001437A5">
        <w:rPr>
          <w:sz w:val="22"/>
          <w:szCs w:val="22"/>
          <w:lang w:val="es-ES"/>
        </w:rPr>
        <w:t xml:space="preserve"> </w:t>
      </w:r>
      <w:r w:rsidR="002F7D00">
        <w:rPr>
          <w:sz w:val="22"/>
          <w:szCs w:val="22"/>
          <w:lang w:val="es-ES"/>
        </w:rPr>
        <w:t>n.º</w:t>
      </w:r>
      <w:r w:rsidR="007E4910" w:rsidRPr="001437A5">
        <w:rPr>
          <w:sz w:val="22"/>
          <w:szCs w:val="22"/>
          <w:lang w:val="es-ES"/>
        </w:rPr>
        <w:t> </w:t>
      </w:r>
      <w:r w:rsidRPr="001437A5">
        <w:rPr>
          <w:sz w:val="22"/>
          <w:szCs w:val="22"/>
          <w:lang w:val="es-ES"/>
        </w:rPr>
        <w:t>443/92</w:t>
      </w:r>
      <w:r w:rsidR="007E4910" w:rsidRPr="001437A5">
        <w:rPr>
          <w:sz w:val="22"/>
          <w:szCs w:val="22"/>
          <w:lang w:val="es-ES"/>
        </w:rPr>
        <w:t xml:space="preserve"> del Consejo,</w:t>
      </w:r>
      <w:r w:rsidRPr="001437A5">
        <w:rPr>
          <w:sz w:val="22"/>
          <w:szCs w:val="22"/>
          <w:lang w:val="es-ES"/>
        </w:rPr>
        <w:t xml:space="preserve"> </w:t>
      </w:r>
      <w:r w:rsidR="007E4910" w:rsidRPr="001437A5">
        <w:rPr>
          <w:sz w:val="22"/>
          <w:szCs w:val="22"/>
          <w:lang w:val="es-ES"/>
        </w:rPr>
        <w:t>de</w:t>
      </w:r>
      <w:r w:rsidRPr="001437A5">
        <w:rPr>
          <w:sz w:val="22"/>
          <w:szCs w:val="22"/>
          <w:lang w:val="es-ES"/>
        </w:rPr>
        <w:t xml:space="preserve"> 25 </w:t>
      </w:r>
      <w:r w:rsidR="007E4910" w:rsidRPr="001437A5">
        <w:rPr>
          <w:sz w:val="22"/>
          <w:szCs w:val="22"/>
          <w:lang w:val="es-ES"/>
        </w:rPr>
        <w:t>de febrero de</w:t>
      </w:r>
      <w:r w:rsidRPr="001437A5">
        <w:rPr>
          <w:sz w:val="22"/>
          <w:szCs w:val="22"/>
          <w:lang w:val="es-ES"/>
        </w:rPr>
        <w:t xml:space="preserve"> 1992 (ALA)</w:t>
      </w:r>
      <w:r w:rsidR="007E4910" w:rsidRPr="001437A5">
        <w:rPr>
          <w:sz w:val="22"/>
          <w:szCs w:val="22"/>
          <w:lang w:val="es-ES"/>
        </w:rPr>
        <w:t xml:space="preserve">, relativo a la ayuda financiera y técnica y a la cooperación económica con los países en vías de desarrollo de </w:t>
      </w:r>
      <w:r w:rsidR="00656053" w:rsidRPr="001437A5">
        <w:rPr>
          <w:sz w:val="22"/>
          <w:szCs w:val="22"/>
          <w:lang w:val="es-ES"/>
        </w:rPr>
        <w:t>América</w:t>
      </w:r>
      <w:r w:rsidR="007E4910" w:rsidRPr="001437A5">
        <w:rPr>
          <w:sz w:val="22"/>
          <w:szCs w:val="22"/>
          <w:lang w:val="es-ES"/>
        </w:rPr>
        <w:t xml:space="preserve"> Latina y Asia</w:t>
      </w:r>
      <w:r w:rsidRPr="001437A5">
        <w:rPr>
          <w:rStyle w:val="FootnoteReference"/>
          <w:sz w:val="22"/>
          <w:szCs w:val="22"/>
          <w:lang w:val="es-ES"/>
        </w:rPr>
        <w:footnoteReference w:id="26"/>
      </w:r>
      <w:r w:rsidRPr="001437A5">
        <w:rPr>
          <w:sz w:val="22"/>
          <w:szCs w:val="22"/>
          <w:lang w:val="es-ES"/>
        </w:rPr>
        <w:t xml:space="preserve">, </w:t>
      </w:r>
      <w:r w:rsidR="007E4910" w:rsidRPr="001437A5">
        <w:rPr>
          <w:sz w:val="22"/>
          <w:szCs w:val="22"/>
          <w:lang w:val="es-ES"/>
        </w:rPr>
        <w:t>modificado por Reglamento del Consejo</w:t>
      </w:r>
      <w:r w:rsidRPr="001437A5">
        <w:rPr>
          <w:sz w:val="22"/>
          <w:szCs w:val="22"/>
          <w:lang w:val="es-ES"/>
        </w:rPr>
        <w:t xml:space="preserve"> </w:t>
      </w:r>
      <w:r w:rsidR="007E4910" w:rsidRPr="001437A5">
        <w:rPr>
          <w:sz w:val="22"/>
          <w:szCs w:val="22"/>
          <w:lang w:val="es-ES"/>
        </w:rPr>
        <w:t>relativo al acceso a la ayuda exterior comunitaria.</w:t>
      </w:r>
    </w:p>
    <w:p w:rsidR="007D7744" w:rsidRPr="001437A5" w:rsidRDefault="00FB77FF" w:rsidP="00776F45">
      <w:pPr>
        <w:pBdr>
          <w:top w:val="single" w:sz="4" w:space="1" w:color="auto"/>
          <w:left w:val="single" w:sz="4" w:space="0" w:color="auto"/>
          <w:bottom w:val="single" w:sz="4" w:space="1" w:color="auto"/>
          <w:right w:val="single" w:sz="4" w:space="4" w:color="auto"/>
        </w:pBdr>
        <w:tabs>
          <w:tab w:val="left" w:pos="1701"/>
        </w:tabs>
        <w:spacing w:before="120" w:after="120"/>
        <w:ind w:left="993" w:hanging="993"/>
        <w:rPr>
          <w:b/>
          <w:sz w:val="28"/>
          <w:szCs w:val="28"/>
          <w:lang w:val="es-ES"/>
        </w:rPr>
      </w:pPr>
      <w:r w:rsidRPr="001437A5">
        <w:rPr>
          <w:highlight w:val="green"/>
          <w:lang w:val="es-ES"/>
        </w:rPr>
        <w:br w:type="page"/>
      </w:r>
      <w:r w:rsidR="00E91576" w:rsidRPr="001437A5">
        <w:rPr>
          <w:b/>
          <w:sz w:val="28"/>
          <w:szCs w:val="28"/>
          <w:lang w:val="es-ES"/>
        </w:rPr>
        <w:lastRenderedPageBreak/>
        <w:t>Part</w:t>
      </w:r>
      <w:r w:rsidR="00033090" w:rsidRPr="001437A5">
        <w:rPr>
          <w:b/>
          <w:sz w:val="28"/>
          <w:szCs w:val="28"/>
          <w:lang w:val="es-ES"/>
        </w:rPr>
        <w:t>e</w:t>
      </w:r>
      <w:r w:rsidR="00E91576" w:rsidRPr="001437A5">
        <w:rPr>
          <w:b/>
          <w:sz w:val="28"/>
          <w:szCs w:val="28"/>
          <w:lang w:val="es-ES"/>
        </w:rPr>
        <w:t xml:space="preserve"> 2</w:t>
      </w:r>
      <w:r w:rsidR="007D7744" w:rsidRPr="001437A5">
        <w:rPr>
          <w:b/>
          <w:sz w:val="28"/>
          <w:szCs w:val="28"/>
          <w:lang w:val="es-ES"/>
        </w:rPr>
        <w:tab/>
      </w:r>
      <w:r w:rsidR="00033090" w:rsidRPr="001437A5">
        <w:rPr>
          <w:b/>
          <w:sz w:val="28"/>
          <w:szCs w:val="28"/>
          <w:lang w:val="es-ES"/>
        </w:rPr>
        <w:t xml:space="preserve">Lista </w:t>
      </w:r>
      <w:r w:rsidR="00EB56C3" w:rsidRPr="001437A5">
        <w:rPr>
          <w:b/>
          <w:sz w:val="28"/>
          <w:szCs w:val="28"/>
          <w:lang w:val="es-ES"/>
        </w:rPr>
        <w:t xml:space="preserve">de beneficiarios de la ayuda </w:t>
      </w:r>
      <w:r w:rsidR="00B75F83">
        <w:rPr>
          <w:b/>
          <w:sz w:val="28"/>
          <w:szCs w:val="28"/>
          <w:lang w:val="es-ES"/>
        </w:rPr>
        <w:t xml:space="preserve">establecida por </w:t>
      </w:r>
      <w:r w:rsidR="00033090" w:rsidRPr="001437A5">
        <w:rPr>
          <w:b/>
          <w:sz w:val="28"/>
          <w:szCs w:val="28"/>
          <w:lang w:val="es-ES"/>
        </w:rPr>
        <w:t xml:space="preserve">el Comité de </w:t>
      </w:r>
      <w:r w:rsidR="00EB56C3">
        <w:rPr>
          <w:b/>
          <w:sz w:val="28"/>
          <w:szCs w:val="28"/>
          <w:lang w:val="es-ES"/>
        </w:rPr>
        <w:t>A</w:t>
      </w:r>
      <w:r w:rsidR="00033090" w:rsidRPr="001437A5">
        <w:rPr>
          <w:b/>
          <w:sz w:val="28"/>
          <w:szCs w:val="28"/>
          <w:lang w:val="es-ES"/>
        </w:rPr>
        <w:t xml:space="preserve">yuda al </w:t>
      </w:r>
      <w:r w:rsidR="00EB56C3">
        <w:rPr>
          <w:b/>
          <w:sz w:val="28"/>
          <w:szCs w:val="28"/>
          <w:lang w:val="es-ES"/>
        </w:rPr>
        <w:t>D</w:t>
      </w:r>
      <w:r w:rsidR="00033090" w:rsidRPr="001437A5">
        <w:rPr>
          <w:b/>
          <w:sz w:val="28"/>
          <w:szCs w:val="28"/>
          <w:lang w:val="es-ES"/>
        </w:rPr>
        <w:t>esarrollo</w:t>
      </w:r>
      <w:r w:rsidR="00B75F83">
        <w:rPr>
          <w:b/>
          <w:sz w:val="28"/>
          <w:szCs w:val="28"/>
          <w:lang w:val="es-ES"/>
        </w:rPr>
        <w:t xml:space="preserve"> (CAD)</w:t>
      </w:r>
      <w:r w:rsidR="00033090" w:rsidRPr="001437A5">
        <w:rPr>
          <w:b/>
          <w:sz w:val="28"/>
          <w:szCs w:val="28"/>
          <w:lang w:val="es-ES"/>
        </w:rPr>
        <w:t xml:space="preserve"> </w:t>
      </w:r>
    </w:p>
    <w:p w:rsidR="00F00FA5" w:rsidRPr="001437A5" w:rsidRDefault="00F00FA5" w:rsidP="00F00FA5">
      <w:pPr>
        <w:rPr>
          <w:lang w:val="es-ES"/>
        </w:rPr>
      </w:pPr>
    </w:p>
    <w:p w:rsidR="0012545F" w:rsidRPr="001437A5" w:rsidRDefault="00033090" w:rsidP="00F00FA5">
      <w:pPr>
        <w:rPr>
          <w:sz w:val="22"/>
          <w:szCs w:val="22"/>
          <w:lang w:val="es-ES"/>
        </w:rPr>
      </w:pPr>
      <w:r w:rsidRPr="001437A5">
        <w:rPr>
          <w:sz w:val="22"/>
          <w:szCs w:val="22"/>
          <w:lang w:val="es-ES"/>
        </w:rPr>
        <w:t xml:space="preserve">Lista del </w:t>
      </w:r>
      <w:r w:rsidR="00B75F83">
        <w:rPr>
          <w:sz w:val="22"/>
          <w:szCs w:val="22"/>
          <w:lang w:val="es-ES"/>
        </w:rPr>
        <w:t>CAD</w:t>
      </w:r>
      <w:r w:rsidRPr="001437A5">
        <w:rPr>
          <w:sz w:val="22"/>
          <w:szCs w:val="22"/>
          <w:lang w:val="es-ES"/>
        </w:rPr>
        <w:t xml:space="preserve"> aplicable a los instrumentos </w:t>
      </w:r>
      <w:r w:rsidR="00B75F83">
        <w:rPr>
          <w:sz w:val="22"/>
          <w:szCs w:val="22"/>
          <w:lang w:val="es-ES"/>
        </w:rPr>
        <w:t xml:space="preserve">para las acciones exteriores </w:t>
      </w:r>
      <w:r w:rsidR="00EB56C3">
        <w:rPr>
          <w:sz w:val="22"/>
          <w:szCs w:val="22"/>
          <w:lang w:val="es-ES"/>
        </w:rPr>
        <w:t>que entraron</w:t>
      </w:r>
      <w:r w:rsidRPr="001437A5">
        <w:rPr>
          <w:sz w:val="22"/>
          <w:szCs w:val="22"/>
          <w:lang w:val="es-ES"/>
        </w:rPr>
        <w:t xml:space="preserve"> en vigor antes de 2007</w:t>
      </w:r>
    </w:p>
    <w:p w:rsidR="0012545F" w:rsidRPr="001437A5" w:rsidRDefault="0012545F" w:rsidP="00F00FA5">
      <w:pPr>
        <w:rPr>
          <w:lang w:val="es-ES"/>
        </w:rPr>
      </w:pPr>
    </w:p>
    <w:p w:rsidR="0012545F" w:rsidRPr="001437A5" w:rsidRDefault="00DD69D3" w:rsidP="00F00FA5">
      <w:pPr>
        <w:rPr>
          <w:lang w:val="es-ES"/>
        </w:rPr>
      </w:pPr>
      <w:r>
        <w:rPr>
          <w:lang w:val="es-ES"/>
        </w:rPr>
      </w:r>
      <w:r>
        <w:rPr>
          <w:lang w:val="es-ES"/>
        </w:rPr>
        <w:pict>
          <v:group id="_x0000_s1034" editas="canvas" style="width:431.25pt;height:458.9pt;mso-position-horizontal-relative:char;mso-position-vertical-relative:line" coordsize="8625,9178" o:allowincell="f">
            <o:lock v:ext="edit" aspectratio="t"/>
            <v:shape id="_x0000_s1035" type="#_x0000_t75" style="position:absolute;width:8625;height:9178" o:preferrelative="f" o:allowincell="f">
              <v:fill o:detectmouseclick="t"/>
              <v:path o:extrusionok="t" o:connecttype="none"/>
              <o:lock v:ext="edit" text="t"/>
            </v:shape>
            <v:shape id="_x0000_s1036" type="#_x0000_t75" style="position:absolute;width:8564;height:9118" o:allowincell="f">
              <v:imagedata r:id="rId7" o:title=""/>
            </v:shape>
            <v:rect id="_x0000_s1037" style="position:absolute;left:8564;top:8902;width:61;height:276;mso-wrap-style:none" o:allowincell="f" filled="f" stroked="f">
              <v:textbox style="mso-next-textbox:#_x0000_s1037;mso-fit-shape-to-text:t" inset="0,0,0,0">
                <w:txbxContent>
                  <w:p w:rsidR="008A7EB9" w:rsidRDefault="008A7EB9" w:rsidP="00C1621D">
                    <w:r>
                      <w:rPr>
                        <w:color w:val="000000"/>
                        <w:szCs w:val="24"/>
                        <w:lang w:val="en-US"/>
                      </w:rPr>
                      <w:t xml:space="preserve"> </w:t>
                    </w:r>
                  </w:p>
                </w:txbxContent>
              </v:textbox>
            </v:rect>
            <w10:anchorlock/>
          </v:group>
        </w:pict>
      </w:r>
    </w:p>
    <w:p w:rsidR="0012545F" w:rsidRPr="001437A5" w:rsidRDefault="00033090" w:rsidP="00776F45">
      <w:pPr>
        <w:keepNext/>
        <w:keepLines/>
        <w:jc w:val="both"/>
        <w:rPr>
          <w:sz w:val="22"/>
          <w:szCs w:val="22"/>
          <w:lang w:val="es-ES"/>
        </w:rPr>
      </w:pPr>
      <w:r w:rsidRPr="001437A5">
        <w:rPr>
          <w:sz w:val="22"/>
          <w:szCs w:val="22"/>
          <w:lang w:val="es-ES"/>
        </w:rPr>
        <w:lastRenderedPageBreak/>
        <w:t xml:space="preserve">Lista del </w:t>
      </w:r>
      <w:r w:rsidR="00B75F83">
        <w:rPr>
          <w:sz w:val="22"/>
          <w:szCs w:val="22"/>
          <w:lang w:val="es-ES"/>
        </w:rPr>
        <w:t>CAD</w:t>
      </w:r>
      <w:r w:rsidRPr="001437A5">
        <w:rPr>
          <w:sz w:val="22"/>
          <w:szCs w:val="22"/>
          <w:lang w:val="es-ES"/>
        </w:rPr>
        <w:t xml:space="preserve"> aplicable al Instrumento de Financiación de la Cooperación al Desarrollo </w:t>
      </w:r>
      <w:r w:rsidR="00B75F83">
        <w:rPr>
          <w:sz w:val="22"/>
          <w:szCs w:val="22"/>
          <w:lang w:val="es-ES"/>
        </w:rPr>
        <w:t xml:space="preserve">(ICD) </w:t>
      </w:r>
      <w:r w:rsidRPr="001437A5">
        <w:rPr>
          <w:sz w:val="22"/>
          <w:szCs w:val="22"/>
          <w:lang w:val="es-ES"/>
        </w:rPr>
        <w:t xml:space="preserve">[Reglamento (CE) </w:t>
      </w:r>
      <w:r w:rsidR="002F7D00">
        <w:rPr>
          <w:sz w:val="22"/>
          <w:szCs w:val="22"/>
          <w:lang w:val="es-ES"/>
        </w:rPr>
        <w:t>n.º</w:t>
      </w:r>
      <w:r w:rsidRPr="001437A5">
        <w:rPr>
          <w:sz w:val="22"/>
          <w:szCs w:val="22"/>
          <w:lang w:val="es-ES"/>
        </w:rPr>
        <w:t> 1905/2006 del Parlamento Europeo y del Consejo</w:t>
      </w:r>
      <w:r w:rsidR="00213D54" w:rsidRPr="001437A5">
        <w:rPr>
          <w:sz w:val="22"/>
          <w:szCs w:val="22"/>
          <w:lang w:val="es-ES"/>
        </w:rPr>
        <w:t xml:space="preserve"> – DO L 378 de 27.12.2006</w:t>
      </w:r>
      <w:r w:rsidR="002F7D00">
        <w:rPr>
          <w:sz w:val="22"/>
          <w:szCs w:val="22"/>
          <w:lang w:val="es-ES"/>
        </w:rPr>
        <w:t>, p. 65</w:t>
      </w:r>
      <w:r w:rsidR="00213D54" w:rsidRPr="001437A5">
        <w:rPr>
          <w:sz w:val="22"/>
          <w:szCs w:val="22"/>
          <w:lang w:val="es-ES"/>
        </w:rPr>
        <w:t>]</w:t>
      </w:r>
    </w:p>
    <w:p w:rsidR="0012545F" w:rsidRPr="001437A5" w:rsidRDefault="0012545F" w:rsidP="00776F45">
      <w:pPr>
        <w:keepNext/>
        <w:keepLines/>
        <w:rPr>
          <w:lang w:val="es-ES"/>
        </w:rPr>
      </w:pPr>
    </w:p>
    <w:p w:rsidR="007A518E" w:rsidRPr="001437A5" w:rsidRDefault="00DD69D3" w:rsidP="00776F45">
      <w:pPr>
        <w:keepNext/>
        <w:keepLines/>
        <w:rPr>
          <w:b/>
          <w:sz w:val="28"/>
          <w:szCs w:val="28"/>
          <w:lang w:val="es-ES"/>
        </w:rPr>
      </w:pPr>
      <w:r>
        <w:rPr>
          <w:noProof/>
          <w:lang w:val="es-ES"/>
        </w:rPr>
        <w:pict>
          <v:shapetype id="_x0000_t202" coordsize="21600,21600" o:spt="202" path="m,l,21600r21600,l21600,xe">
            <v:stroke joinstyle="miter"/>
            <v:path gradientshapeok="t" o:connecttype="rect"/>
          </v:shapetype>
          <v:shape id="_x0000_s1027" type="#_x0000_t202" style="position:absolute;margin-left:-448pt;margin-top:9.3pt;width:114pt;height:36pt;z-index:251656704" o:allowincell="f">
            <v:textbox style="mso-next-textbox:#_x0000_s1027">
              <w:txbxContent>
                <w:p w:rsidR="008A7EB9" w:rsidRPr="007D7744" w:rsidRDefault="008A7EB9" w:rsidP="007D7744">
                  <w:pPr>
                    <w:rPr>
                      <w:sz w:val="16"/>
                      <w:szCs w:val="16"/>
                      <w:lang w:val="en-GB"/>
                    </w:rPr>
                  </w:pPr>
                  <w:r w:rsidRPr="007D7744">
                    <w:rPr>
                      <w:sz w:val="16"/>
                      <w:szCs w:val="16"/>
                      <w:highlight w:val="yellow"/>
                      <w:lang w:val="en-GB"/>
                    </w:rPr>
                    <w:t>JL, Pools: Please replace "DAC" with "Development Assistance Committee"</w:t>
                  </w:r>
                </w:p>
              </w:txbxContent>
            </v:textbox>
          </v:shape>
        </w:pict>
      </w:r>
      <w:r>
        <w:rPr>
          <w:lang w:val="es-ES"/>
        </w:rPr>
        <w:pict>
          <v:shape id="_x0000_i1029" type="#_x0000_t75" style="width:475pt;height:548.9pt">
            <v:imagedata r:id="rId8" o:title="" gain="57672f" blacklevel="-1966f"/>
          </v:shape>
        </w:pict>
      </w:r>
    </w:p>
    <w:p w:rsidR="000049C8" w:rsidRPr="001437A5" w:rsidRDefault="000049C8" w:rsidP="003735CB">
      <w:pPr>
        <w:rPr>
          <w:lang w:val="es-ES"/>
        </w:rPr>
      </w:pPr>
    </w:p>
    <w:p w:rsidR="00E87562" w:rsidRPr="001437A5" w:rsidRDefault="0081602B" w:rsidP="00987D47">
      <w:pPr>
        <w:rPr>
          <w:b/>
          <w:sz w:val="28"/>
          <w:szCs w:val="28"/>
          <w:lang w:val="es-ES"/>
        </w:rPr>
      </w:pPr>
      <w:r w:rsidRPr="001437A5">
        <w:rPr>
          <w:b/>
          <w:sz w:val="28"/>
          <w:szCs w:val="28"/>
          <w:lang w:val="es-ES"/>
        </w:rPr>
        <w:br w:type="page"/>
      </w:r>
      <w:r w:rsidR="00DD69D3">
        <w:rPr>
          <w:b/>
          <w:sz w:val="28"/>
          <w:szCs w:val="28"/>
          <w:lang w:val="es-ES"/>
        </w:rPr>
      </w:r>
      <w:r w:rsidR="00DD69D3">
        <w:rPr>
          <w:b/>
          <w:sz w:val="28"/>
          <w:szCs w:val="28"/>
          <w:lang w:val="es-ES"/>
        </w:rPr>
        <w:pict>
          <v:group id="_x0000_s1040" editas="canvas" style="width:460.15pt;height:657.25pt;mso-position-horizontal-relative:char;mso-position-vertical-relative:line" coordsize="9203,13145">
            <o:lock v:ext="edit" aspectratio="t"/>
            <v:shape id="_x0000_s1039" type="#_x0000_t75" style="position:absolute;width:9203;height:13145" o:preferrelative="f">
              <v:fill o:detectmouseclick="t"/>
              <v:path o:extrusionok="t" o:connecttype="none"/>
              <o:lock v:ext="edit" text="t"/>
            </v:shape>
            <v:shape id="_x0000_s1041" type="#_x0000_t75" style="position:absolute;width:9213;height:13155">
              <v:imagedata r:id="rId9" o:title=""/>
            </v:shape>
            <w10:anchorlock/>
          </v:group>
        </w:pict>
      </w:r>
      <w:r w:rsidR="00BD2D17" w:rsidRPr="001437A5">
        <w:rPr>
          <w:b/>
          <w:sz w:val="28"/>
          <w:szCs w:val="28"/>
          <w:lang w:val="es-ES"/>
        </w:rPr>
        <w:br w:type="page"/>
      </w:r>
      <w:r w:rsidR="00DD69D3">
        <w:rPr>
          <w:b/>
          <w:sz w:val="28"/>
          <w:szCs w:val="28"/>
          <w:lang w:val="es-ES"/>
        </w:rPr>
        <w:lastRenderedPageBreak/>
        <w:pict>
          <v:shape id="_x0000_i1031" type="#_x0000_t75" style="width:460.5pt;height:658.3pt">
            <v:imagedata r:id="rId10" o:title=""/>
          </v:shape>
        </w:pict>
      </w:r>
    </w:p>
    <w:p w:rsidR="000049C8" w:rsidRPr="001437A5" w:rsidRDefault="00E87562" w:rsidP="000049C8">
      <w:pPr>
        <w:rPr>
          <w:b/>
          <w:sz w:val="28"/>
          <w:szCs w:val="28"/>
          <w:lang w:val="es-ES"/>
        </w:rPr>
      </w:pPr>
      <w:r w:rsidRPr="001437A5">
        <w:rPr>
          <w:b/>
          <w:sz w:val="28"/>
          <w:szCs w:val="28"/>
          <w:lang w:val="es-ES"/>
        </w:rPr>
        <w:br w:type="page"/>
      </w:r>
      <w:r w:rsidR="00DD69D3">
        <w:rPr>
          <w:b/>
          <w:sz w:val="28"/>
          <w:szCs w:val="28"/>
          <w:lang w:val="es-ES"/>
        </w:rPr>
        <w:lastRenderedPageBreak/>
        <w:pict>
          <v:shape id="_x0000_i1032" type="#_x0000_t75" style="width:460.5pt;height:622.75pt">
            <v:imagedata r:id="rId11" o:title=""/>
          </v:shape>
        </w:pict>
      </w:r>
      <w:r w:rsidR="00F02E7F" w:rsidRPr="001437A5">
        <w:rPr>
          <w:b/>
          <w:sz w:val="28"/>
          <w:szCs w:val="28"/>
          <w:lang w:val="es-ES"/>
        </w:rPr>
        <w:br w:type="page"/>
      </w:r>
    </w:p>
    <w:p w:rsidR="00B3417D" w:rsidRPr="001437A5" w:rsidRDefault="00E91576" w:rsidP="00F02E7F">
      <w:pPr>
        <w:pBdr>
          <w:top w:val="single" w:sz="4" w:space="1" w:color="auto"/>
          <w:left w:val="single" w:sz="4" w:space="4" w:color="auto"/>
          <w:bottom w:val="single" w:sz="4" w:space="1" w:color="auto"/>
          <w:right w:val="single" w:sz="4" w:space="4" w:color="auto"/>
        </w:pBdr>
        <w:rPr>
          <w:b/>
          <w:snapToGrid w:val="0"/>
          <w:lang w:val="es-ES"/>
        </w:rPr>
      </w:pPr>
      <w:r w:rsidRPr="001437A5">
        <w:rPr>
          <w:b/>
          <w:sz w:val="28"/>
          <w:szCs w:val="28"/>
          <w:lang w:val="es-ES"/>
        </w:rPr>
        <w:t>Part</w:t>
      </w:r>
      <w:r w:rsidR="00213D54" w:rsidRPr="001437A5">
        <w:rPr>
          <w:b/>
          <w:sz w:val="28"/>
          <w:szCs w:val="28"/>
          <w:lang w:val="es-ES"/>
        </w:rPr>
        <w:t xml:space="preserve">e </w:t>
      </w:r>
      <w:r w:rsidR="00E3562C" w:rsidRPr="001437A5">
        <w:rPr>
          <w:b/>
          <w:sz w:val="28"/>
          <w:szCs w:val="28"/>
          <w:lang w:val="es-ES"/>
        </w:rPr>
        <w:t>3</w:t>
      </w:r>
      <w:r w:rsidR="007D7744" w:rsidRPr="001437A5">
        <w:rPr>
          <w:b/>
          <w:sz w:val="28"/>
          <w:szCs w:val="28"/>
          <w:lang w:val="es-ES"/>
        </w:rPr>
        <w:tab/>
      </w:r>
      <w:r w:rsidR="00E3562C" w:rsidRPr="001437A5">
        <w:rPr>
          <w:b/>
          <w:sz w:val="28"/>
          <w:szCs w:val="28"/>
          <w:lang w:val="es-ES"/>
        </w:rPr>
        <w:t>FED</w:t>
      </w:r>
      <w:r w:rsidR="00C275E9" w:rsidRPr="001437A5">
        <w:rPr>
          <w:b/>
          <w:sz w:val="28"/>
          <w:szCs w:val="28"/>
          <w:lang w:val="es-ES"/>
        </w:rPr>
        <w:t>/</w:t>
      </w:r>
      <w:r w:rsidR="00E3562C" w:rsidRPr="001437A5">
        <w:rPr>
          <w:b/>
          <w:sz w:val="28"/>
          <w:szCs w:val="28"/>
          <w:lang w:val="es-ES"/>
        </w:rPr>
        <w:t>PAÍSES ACP</w:t>
      </w:r>
    </w:p>
    <w:p w:rsidR="00F02E7F" w:rsidRPr="001437A5" w:rsidRDefault="00F02E7F" w:rsidP="00A0349C">
      <w:pPr>
        <w:jc w:val="both"/>
        <w:rPr>
          <w:b/>
          <w:snapToGrid w:val="0"/>
          <w:sz w:val="22"/>
          <w:szCs w:val="22"/>
          <w:lang w:val="es-ES"/>
        </w:rPr>
      </w:pPr>
    </w:p>
    <w:p w:rsidR="00763A71" w:rsidRPr="001437A5" w:rsidRDefault="007A49BE" w:rsidP="00976287">
      <w:pPr>
        <w:spacing w:before="120" w:after="120"/>
        <w:jc w:val="both"/>
        <w:rPr>
          <w:b/>
          <w:snapToGrid w:val="0"/>
          <w:szCs w:val="24"/>
          <w:lang w:val="es-ES"/>
        </w:rPr>
      </w:pPr>
      <w:r w:rsidRPr="001437A5">
        <w:rPr>
          <w:b/>
          <w:snapToGrid w:val="0"/>
          <w:szCs w:val="24"/>
          <w:lang w:val="es-ES"/>
        </w:rPr>
        <w:t>10</w:t>
      </w:r>
      <w:r w:rsidR="002F7D00">
        <w:rPr>
          <w:b/>
          <w:snapToGrid w:val="0"/>
          <w:szCs w:val="24"/>
          <w:lang w:val="es-ES"/>
        </w:rPr>
        <w:t>.</w:t>
      </w:r>
      <w:r w:rsidR="00E3562C" w:rsidRPr="001437A5">
        <w:rPr>
          <w:b/>
          <w:snapToGrid w:val="0"/>
          <w:szCs w:val="24"/>
          <w:lang w:val="es-ES"/>
        </w:rPr>
        <w:t>º</w:t>
      </w:r>
      <w:r w:rsidRPr="001437A5">
        <w:rPr>
          <w:b/>
          <w:snapToGrid w:val="0"/>
          <w:szCs w:val="24"/>
          <w:lang w:val="es-ES"/>
        </w:rPr>
        <w:t xml:space="preserve"> </w:t>
      </w:r>
      <w:r w:rsidR="00E3562C" w:rsidRPr="001437A5">
        <w:rPr>
          <w:b/>
          <w:snapToGrid w:val="0"/>
          <w:szCs w:val="24"/>
          <w:lang w:val="es-ES"/>
        </w:rPr>
        <w:t>FED</w:t>
      </w:r>
      <w:r w:rsidR="00763A71" w:rsidRPr="001437A5">
        <w:rPr>
          <w:b/>
          <w:snapToGrid w:val="0"/>
          <w:szCs w:val="24"/>
          <w:lang w:val="es-ES"/>
        </w:rPr>
        <w:t>/</w:t>
      </w:r>
      <w:r w:rsidR="00E3562C" w:rsidRPr="001437A5">
        <w:rPr>
          <w:b/>
          <w:snapToGrid w:val="0"/>
          <w:szCs w:val="24"/>
          <w:lang w:val="es-ES"/>
        </w:rPr>
        <w:t>PAÍSES ACP</w:t>
      </w:r>
      <w:r w:rsidR="00763A71" w:rsidRPr="001437A5">
        <w:rPr>
          <w:b/>
          <w:snapToGrid w:val="0"/>
          <w:szCs w:val="24"/>
          <w:vertAlign w:val="superscript"/>
          <w:lang w:val="es-ES"/>
        </w:rPr>
        <w:footnoteReference w:id="27"/>
      </w:r>
      <w:r w:rsidR="0080353B" w:rsidRPr="001437A5">
        <w:rPr>
          <w:b/>
          <w:snapToGrid w:val="0"/>
          <w:szCs w:val="24"/>
          <w:lang w:val="es-ES"/>
        </w:rPr>
        <w:t>:</w:t>
      </w:r>
    </w:p>
    <w:p w:rsidR="00763A71" w:rsidRPr="001437A5" w:rsidRDefault="00E3562C" w:rsidP="00976287">
      <w:pPr>
        <w:spacing w:before="120" w:after="120"/>
        <w:jc w:val="both"/>
        <w:rPr>
          <w:b/>
          <w:snapToGrid w:val="0"/>
          <w:sz w:val="22"/>
          <w:szCs w:val="22"/>
          <w:lang w:val="es-ES"/>
        </w:rPr>
      </w:pPr>
      <w:r w:rsidRPr="001437A5">
        <w:rPr>
          <w:b/>
          <w:snapToGrid w:val="0"/>
          <w:sz w:val="22"/>
          <w:szCs w:val="22"/>
          <w:lang w:val="es-ES"/>
        </w:rPr>
        <w:t>Á</w:t>
      </w:r>
      <w:r w:rsidR="00763A71" w:rsidRPr="001437A5">
        <w:rPr>
          <w:b/>
          <w:snapToGrid w:val="0"/>
          <w:sz w:val="22"/>
          <w:szCs w:val="22"/>
          <w:lang w:val="es-ES"/>
        </w:rPr>
        <w:t>frica</w:t>
      </w:r>
      <w:r w:rsidR="0080353B" w:rsidRPr="001437A5">
        <w:rPr>
          <w:b/>
          <w:snapToGrid w:val="0"/>
          <w:sz w:val="22"/>
          <w:szCs w:val="22"/>
          <w:lang w:val="es-ES"/>
        </w:rPr>
        <w:t>:</w:t>
      </w:r>
    </w:p>
    <w:p w:rsidR="00763A71" w:rsidRPr="001437A5" w:rsidRDefault="00763A71" w:rsidP="00987D47">
      <w:pPr>
        <w:spacing w:before="120" w:after="120"/>
        <w:jc w:val="both"/>
        <w:rPr>
          <w:snapToGrid w:val="0"/>
          <w:sz w:val="22"/>
          <w:szCs w:val="22"/>
          <w:lang w:val="es-ES"/>
        </w:rPr>
      </w:pPr>
      <w:r w:rsidRPr="001437A5">
        <w:rPr>
          <w:snapToGrid w:val="0"/>
          <w:sz w:val="22"/>
          <w:szCs w:val="22"/>
          <w:lang w:val="es-ES"/>
        </w:rPr>
        <w:t>Angola, Ben</w:t>
      </w:r>
      <w:r w:rsidR="00E3562C" w:rsidRPr="001437A5">
        <w:rPr>
          <w:snapToGrid w:val="0"/>
          <w:sz w:val="22"/>
          <w:szCs w:val="22"/>
          <w:lang w:val="es-ES"/>
        </w:rPr>
        <w:t>ín, Botsua</w:t>
      </w:r>
      <w:r w:rsidRPr="001437A5">
        <w:rPr>
          <w:snapToGrid w:val="0"/>
          <w:sz w:val="22"/>
          <w:szCs w:val="22"/>
          <w:lang w:val="es-ES"/>
        </w:rPr>
        <w:t xml:space="preserve">na, Burkina Faso, Burundi, </w:t>
      </w:r>
      <w:r w:rsidR="00EF09F9" w:rsidRPr="001437A5">
        <w:rPr>
          <w:snapToGrid w:val="0"/>
          <w:sz w:val="22"/>
          <w:szCs w:val="22"/>
          <w:lang w:val="es-ES"/>
        </w:rPr>
        <w:t>Cabo Verde</w:t>
      </w:r>
      <w:r w:rsidR="00EF09F9">
        <w:rPr>
          <w:snapToGrid w:val="0"/>
          <w:sz w:val="22"/>
          <w:szCs w:val="22"/>
          <w:lang w:val="es-ES"/>
        </w:rPr>
        <w:t xml:space="preserve">, </w:t>
      </w:r>
      <w:r w:rsidR="00E3562C" w:rsidRPr="001437A5">
        <w:rPr>
          <w:snapToGrid w:val="0"/>
          <w:sz w:val="22"/>
          <w:szCs w:val="22"/>
          <w:lang w:val="es-ES"/>
        </w:rPr>
        <w:t xml:space="preserve">Camerún, </w:t>
      </w:r>
      <w:r w:rsidR="00EF09F9" w:rsidRPr="001437A5">
        <w:rPr>
          <w:snapToGrid w:val="0"/>
          <w:sz w:val="22"/>
          <w:szCs w:val="22"/>
          <w:lang w:val="es-ES"/>
        </w:rPr>
        <w:t>República Centroafricana</w:t>
      </w:r>
      <w:r w:rsidR="00EF09F9">
        <w:rPr>
          <w:snapToGrid w:val="0"/>
          <w:sz w:val="22"/>
          <w:szCs w:val="22"/>
          <w:lang w:val="es-ES"/>
        </w:rPr>
        <w:t xml:space="preserve">, </w:t>
      </w:r>
      <w:r w:rsidR="00EF09F9" w:rsidRPr="001437A5">
        <w:rPr>
          <w:snapToGrid w:val="0"/>
          <w:sz w:val="22"/>
          <w:szCs w:val="22"/>
          <w:lang w:val="es-ES"/>
        </w:rPr>
        <w:t>Chad</w:t>
      </w:r>
      <w:r w:rsidR="00EF09F9">
        <w:rPr>
          <w:snapToGrid w:val="0"/>
          <w:sz w:val="22"/>
          <w:szCs w:val="22"/>
          <w:lang w:val="es-ES"/>
        </w:rPr>
        <w:t xml:space="preserve">, </w:t>
      </w:r>
      <w:r w:rsidR="001437A5" w:rsidRPr="001437A5">
        <w:rPr>
          <w:snapToGrid w:val="0"/>
          <w:sz w:val="22"/>
          <w:szCs w:val="22"/>
          <w:lang w:val="es-ES"/>
        </w:rPr>
        <w:t>Comoras</w:t>
      </w:r>
      <w:r w:rsidR="00E3562C" w:rsidRPr="001437A5">
        <w:rPr>
          <w:snapToGrid w:val="0"/>
          <w:sz w:val="22"/>
          <w:szCs w:val="22"/>
          <w:lang w:val="es-ES"/>
        </w:rPr>
        <w:t xml:space="preserve">, Congo, </w:t>
      </w:r>
      <w:r w:rsidR="00EF09F9" w:rsidRPr="001437A5">
        <w:rPr>
          <w:snapToGrid w:val="0"/>
          <w:sz w:val="22"/>
          <w:szCs w:val="22"/>
          <w:lang w:val="es-ES"/>
        </w:rPr>
        <w:t>República Democrática del Congo</w:t>
      </w:r>
      <w:r w:rsidR="00EF09F9">
        <w:rPr>
          <w:snapToGrid w:val="0"/>
          <w:sz w:val="22"/>
          <w:szCs w:val="22"/>
          <w:lang w:val="es-ES"/>
        </w:rPr>
        <w:t xml:space="preserve">, </w:t>
      </w:r>
      <w:r w:rsidR="00E3562C" w:rsidRPr="001437A5">
        <w:rPr>
          <w:snapToGrid w:val="0"/>
          <w:sz w:val="22"/>
          <w:szCs w:val="22"/>
          <w:lang w:val="es-ES"/>
        </w:rPr>
        <w:t xml:space="preserve">Islas Cook, Costa de </w:t>
      </w:r>
      <w:r w:rsidR="00EF09F9">
        <w:rPr>
          <w:snapToGrid w:val="0"/>
          <w:sz w:val="22"/>
          <w:szCs w:val="22"/>
          <w:lang w:val="es-ES"/>
        </w:rPr>
        <w:t>M</w:t>
      </w:r>
      <w:r w:rsidR="00E3562C" w:rsidRPr="001437A5">
        <w:rPr>
          <w:snapToGrid w:val="0"/>
          <w:sz w:val="22"/>
          <w:szCs w:val="22"/>
          <w:lang w:val="es-ES"/>
        </w:rPr>
        <w:t>arfil, Eritrea, Etiopía, Gabón, Gambia, Ghana, Guinea, Guinea-Bissau, Guinea Ecuatorial, Kenia, Lesoto, Liberia, Madagascar, Malaui, Mali, Mauricio, Mauritania, Mozambique, Namibia, Níger, Nigeria, Ruanda, Santo Tomé y Príncipe, Senegal</w:t>
      </w:r>
      <w:r w:rsidR="00EF09F9">
        <w:rPr>
          <w:snapToGrid w:val="0"/>
          <w:sz w:val="22"/>
          <w:szCs w:val="22"/>
          <w:lang w:val="es-ES"/>
        </w:rPr>
        <w:t>,</w:t>
      </w:r>
      <w:r w:rsidR="00E3562C" w:rsidRPr="001437A5">
        <w:rPr>
          <w:snapToGrid w:val="0"/>
          <w:sz w:val="22"/>
          <w:szCs w:val="22"/>
          <w:lang w:val="es-ES"/>
        </w:rPr>
        <w:t xml:space="preserve"> Seychelles, Sierra Leona, Somalia, </w:t>
      </w:r>
      <w:r w:rsidR="00EF09F9" w:rsidRPr="001437A5">
        <w:rPr>
          <w:snapToGrid w:val="0"/>
          <w:sz w:val="22"/>
          <w:szCs w:val="22"/>
          <w:lang w:val="es-ES"/>
        </w:rPr>
        <w:t>Suazilandia,</w:t>
      </w:r>
      <w:r w:rsidR="00EF09F9">
        <w:rPr>
          <w:snapToGrid w:val="0"/>
          <w:sz w:val="22"/>
          <w:szCs w:val="22"/>
          <w:lang w:val="es-ES"/>
        </w:rPr>
        <w:t xml:space="preserve"> </w:t>
      </w:r>
      <w:r w:rsidR="002F7D00" w:rsidRPr="001437A5">
        <w:rPr>
          <w:snapToGrid w:val="0"/>
          <w:sz w:val="22"/>
          <w:szCs w:val="22"/>
          <w:lang w:val="es-ES"/>
        </w:rPr>
        <w:t>Sudáfrica</w:t>
      </w:r>
      <w:r w:rsidR="002F7D00" w:rsidRPr="001437A5">
        <w:rPr>
          <w:snapToGrid w:val="0"/>
          <w:sz w:val="22"/>
          <w:szCs w:val="22"/>
          <w:vertAlign w:val="superscript"/>
          <w:lang w:val="es-ES"/>
        </w:rPr>
        <w:footnoteReference w:id="28"/>
      </w:r>
      <w:r w:rsidR="002F7D00">
        <w:rPr>
          <w:snapToGrid w:val="0"/>
          <w:sz w:val="22"/>
          <w:szCs w:val="22"/>
          <w:lang w:val="es-ES"/>
        </w:rPr>
        <w:t xml:space="preserve">, </w:t>
      </w:r>
      <w:r w:rsidR="00E3562C" w:rsidRPr="001437A5">
        <w:rPr>
          <w:snapToGrid w:val="0"/>
          <w:sz w:val="22"/>
          <w:szCs w:val="22"/>
          <w:lang w:val="es-ES"/>
        </w:rPr>
        <w:t xml:space="preserve">Sudán, Tanzania, Togo, </w:t>
      </w:r>
      <w:r w:rsidR="00EF09F9" w:rsidRPr="001437A5">
        <w:rPr>
          <w:snapToGrid w:val="0"/>
          <w:sz w:val="22"/>
          <w:szCs w:val="22"/>
          <w:lang w:val="es-ES"/>
        </w:rPr>
        <w:t>Uganda</w:t>
      </w:r>
      <w:r w:rsidR="00EF09F9">
        <w:rPr>
          <w:snapToGrid w:val="0"/>
          <w:sz w:val="22"/>
          <w:szCs w:val="22"/>
          <w:lang w:val="es-ES"/>
        </w:rPr>
        <w:t xml:space="preserve">, </w:t>
      </w:r>
      <w:r w:rsidR="00EF09F9" w:rsidRPr="001437A5">
        <w:rPr>
          <w:snapToGrid w:val="0"/>
          <w:sz w:val="22"/>
          <w:szCs w:val="22"/>
          <w:lang w:val="es-ES"/>
        </w:rPr>
        <w:t>Yibuti,</w:t>
      </w:r>
      <w:r w:rsidR="00EF09F9">
        <w:rPr>
          <w:snapToGrid w:val="0"/>
          <w:sz w:val="22"/>
          <w:szCs w:val="22"/>
          <w:lang w:val="es-ES"/>
        </w:rPr>
        <w:t xml:space="preserve"> </w:t>
      </w:r>
      <w:r w:rsidR="00E3562C" w:rsidRPr="001437A5">
        <w:rPr>
          <w:snapToGrid w:val="0"/>
          <w:sz w:val="22"/>
          <w:szCs w:val="22"/>
          <w:lang w:val="es-ES"/>
        </w:rPr>
        <w:t>Zambia y Zimbabue.</w:t>
      </w:r>
    </w:p>
    <w:p w:rsidR="00763A71" w:rsidRPr="001437A5" w:rsidRDefault="00763A71" w:rsidP="00976287">
      <w:pPr>
        <w:spacing w:before="120" w:after="120"/>
        <w:jc w:val="both"/>
        <w:rPr>
          <w:b/>
          <w:snapToGrid w:val="0"/>
          <w:sz w:val="22"/>
          <w:szCs w:val="22"/>
          <w:lang w:val="es-ES"/>
        </w:rPr>
      </w:pPr>
      <w:r w:rsidRPr="001437A5">
        <w:rPr>
          <w:b/>
          <w:snapToGrid w:val="0"/>
          <w:sz w:val="22"/>
          <w:szCs w:val="22"/>
          <w:lang w:val="es-ES"/>
        </w:rPr>
        <w:t>Caribe</w:t>
      </w:r>
      <w:r w:rsidR="0080353B" w:rsidRPr="001437A5">
        <w:rPr>
          <w:b/>
          <w:snapToGrid w:val="0"/>
          <w:sz w:val="22"/>
          <w:szCs w:val="22"/>
          <w:lang w:val="es-ES"/>
        </w:rPr>
        <w:t>:</w:t>
      </w:r>
    </w:p>
    <w:p w:rsidR="00763A71" w:rsidRPr="001437A5" w:rsidRDefault="00763A71" w:rsidP="00976287">
      <w:pPr>
        <w:spacing w:before="120" w:after="120"/>
        <w:jc w:val="both"/>
        <w:rPr>
          <w:snapToGrid w:val="0"/>
          <w:sz w:val="22"/>
          <w:szCs w:val="22"/>
          <w:lang w:val="es-ES"/>
        </w:rPr>
      </w:pPr>
      <w:r w:rsidRPr="001437A5">
        <w:rPr>
          <w:snapToGrid w:val="0"/>
          <w:sz w:val="22"/>
          <w:szCs w:val="22"/>
          <w:lang w:val="es-ES"/>
        </w:rPr>
        <w:t xml:space="preserve">Antigua </w:t>
      </w:r>
      <w:r w:rsidR="00E3562C" w:rsidRPr="001437A5">
        <w:rPr>
          <w:snapToGrid w:val="0"/>
          <w:sz w:val="22"/>
          <w:szCs w:val="22"/>
          <w:lang w:val="es-ES"/>
        </w:rPr>
        <w:t>y</w:t>
      </w:r>
      <w:r w:rsidRPr="001437A5">
        <w:rPr>
          <w:snapToGrid w:val="0"/>
          <w:sz w:val="22"/>
          <w:szCs w:val="22"/>
          <w:lang w:val="es-ES"/>
        </w:rPr>
        <w:t xml:space="preserve"> Barbuda, Bahamas, Barbados, Beli</w:t>
      </w:r>
      <w:r w:rsidR="00E3562C" w:rsidRPr="001437A5">
        <w:rPr>
          <w:snapToGrid w:val="0"/>
          <w:sz w:val="22"/>
          <w:szCs w:val="22"/>
          <w:lang w:val="es-ES"/>
        </w:rPr>
        <w:t>c</w:t>
      </w:r>
      <w:r w:rsidRPr="001437A5">
        <w:rPr>
          <w:snapToGrid w:val="0"/>
          <w:sz w:val="22"/>
          <w:szCs w:val="22"/>
          <w:lang w:val="es-ES"/>
        </w:rPr>
        <w:t>e, Dominica</w:t>
      </w:r>
      <w:r w:rsidR="00EF09F9">
        <w:rPr>
          <w:snapToGrid w:val="0"/>
          <w:sz w:val="22"/>
          <w:szCs w:val="22"/>
          <w:lang w:val="es-ES"/>
        </w:rPr>
        <w:t xml:space="preserve">, </w:t>
      </w:r>
      <w:r w:rsidR="00EF09F9" w:rsidRPr="001437A5">
        <w:rPr>
          <w:snapToGrid w:val="0"/>
          <w:sz w:val="22"/>
          <w:szCs w:val="22"/>
          <w:lang w:val="es-ES"/>
        </w:rPr>
        <w:t>República Dominicana</w:t>
      </w:r>
      <w:r w:rsidRPr="001437A5">
        <w:rPr>
          <w:snapToGrid w:val="0"/>
          <w:sz w:val="22"/>
          <w:szCs w:val="22"/>
          <w:lang w:val="es-ES"/>
        </w:rPr>
        <w:t xml:space="preserve">, </w:t>
      </w:r>
      <w:r w:rsidR="00E3562C" w:rsidRPr="001437A5">
        <w:rPr>
          <w:snapToGrid w:val="0"/>
          <w:sz w:val="22"/>
          <w:szCs w:val="22"/>
          <w:lang w:val="es-ES"/>
        </w:rPr>
        <w:t>Granada, Guyana, Haití, Jamaica, San Cristóbal y Nieves, Santa Lucía, San Vicente y las Granadinas, Surinam</w:t>
      </w:r>
      <w:r w:rsidR="00EF09F9">
        <w:rPr>
          <w:snapToGrid w:val="0"/>
          <w:sz w:val="22"/>
          <w:szCs w:val="22"/>
          <w:lang w:val="es-ES"/>
        </w:rPr>
        <w:t>,</w:t>
      </w:r>
      <w:r w:rsidR="00E3562C" w:rsidRPr="001437A5">
        <w:rPr>
          <w:snapToGrid w:val="0"/>
          <w:sz w:val="22"/>
          <w:szCs w:val="22"/>
          <w:lang w:val="es-ES"/>
        </w:rPr>
        <w:t xml:space="preserve"> y Trinidad y Tobago.</w:t>
      </w:r>
    </w:p>
    <w:p w:rsidR="00763A71" w:rsidRPr="001437A5" w:rsidRDefault="00763A71" w:rsidP="00976287">
      <w:pPr>
        <w:spacing w:before="120" w:after="120"/>
        <w:jc w:val="both"/>
        <w:rPr>
          <w:b/>
          <w:snapToGrid w:val="0"/>
          <w:sz w:val="22"/>
          <w:szCs w:val="22"/>
          <w:lang w:val="es-ES"/>
        </w:rPr>
      </w:pPr>
      <w:r w:rsidRPr="001437A5">
        <w:rPr>
          <w:b/>
          <w:snapToGrid w:val="0"/>
          <w:sz w:val="22"/>
          <w:szCs w:val="22"/>
          <w:lang w:val="es-ES"/>
        </w:rPr>
        <w:t>Pac</w:t>
      </w:r>
      <w:r w:rsidR="00E3562C" w:rsidRPr="001437A5">
        <w:rPr>
          <w:b/>
          <w:snapToGrid w:val="0"/>
          <w:sz w:val="22"/>
          <w:szCs w:val="22"/>
          <w:lang w:val="es-ES"/>
        </w:rPr>
        <w:t>ífico</w:t>
      </w:r>
      <w:r w:rsidR="0080353B" w:rsidRPr="001437A5">
        <w:rPr>
          <w:b/>
          <w:snapToGrid w:val="0"/>
          <w:sz w:val="22"/>
          <w:szCs w:val="22"/>
          <w:lang w:val="es-ES"/>
        </w:rPr>
        <w:t>:</w:t>
      </w:r>
    </w:p>
    <w:p w:rsidR="00763A71" w:rsidRPr="001437A5" w:rsidRDefault="00E3562C" w:rsidP="00976287">
      <w:pPr>
        <w:spacing w:before="120" w:after="120"/>
        <w:jc w:val="both"/>
        <w:rPr>
          <w:snapToGrid w:val="0"/>
          <w:sz w:val="22"/>
          <w:szCs w:val="22"/>
          <w:lang w:val="es-ES"/>
        </w:rPr>
      </w:pPr>
      <w:r w:rsidRPr="001437A5">
        <w:rPr>
          <w:snapToGrid w:val="0"/>
          <w:sz w:val="22"/>
          <w:szCs w:val="22"/>
          <w:lang w:val="es-ES"/>
        </w:rPr>
        <w:t xml:space="preserve">Islas Cook, Fiyi, Kiribati, Islas Marshall, Micronesia, Nauru, Niue, Palaos, Papúa-Nueva Guinea, Islas Salomón, Samoa Occidental, </w:t>
      </w:r>
      <w:r w:rsidR="00EF09F9" w:rsidRPr="001437A5">
        <w:rPr>
          <w:snapToGrid w:val="0"/>
          <w:sz w:val="22"/>
          <w:szCs w:val="22"/>
          <w:lang w:val="es-ES"/>
        </w:rPr>
        <w:t>Timor Oriental</w:t>
      </w:r>
      <w:r w:rsidR="00EF09F9">
        <w:rPr>
          <w:snapToGrid w:val="0"/>
          <w:sz w:val="22"/>
          <w:szCs w:val="22"/>
          <w:lang w:val="es-ES"/>
        </w:rPr>
        <w:t xml:space="preserve">, </w:t>
      </w:r>
      <w:r w:rsidR="00EB56C3">
        <w:rPr>
          <w:snapToGrid w:val="0"/>
          <w:sz w:val="22"/>
          <w:szCs w:val="22"/>
          <w:lang w:val="es-ES"/>
        </w:rPr>
        <w:t>T</w:t>
      </w:r>
      <w:r w:rsidRPr="001437A5">
        <w:rPr>
          <w:snapToGrid w:val="0"/>
          <w:sz w:val="22"/>
          <w:szCs w:val="22"/>
          <w:lang w:val="es-ES"/>
        </w:rPr>
        <w:t>onga, Tuvalu y Vanuatu.</w:t>
      </w:r>
    </w:p>
    <w:p w:rsidR="00763A71" w:rsidRPr="001437A5" w:rsidRDefault="00E3562C" w:rsidP="00976287">
      <w:pPr>
        <w:spacing w:before="120" w:after="120"/>
        <w:jc w:val="both"/>
        <w:rPr>
          <w:b/>
          <w:snapToGrid w:val="0"/>
          <w:sz w:val="22"/>
          <w:szCs w:val="22"/>
          <w:lang w:val="es-ES"/>
        </w:rPr>
      </w:pPr>
      <w:r w:rsidRPr="001437A5">
        <w:rPr>
          <w:b/>
          <w:snapToGrid w:val="0"/>
          <w:sz w:val="22"/>
          <w:szCs w:val="22"/>
          <w:lang w:val="es-ES"/>
        </w:rPr>
        <w:t>Países y territorios de ultramar</w:t>
      </w:r>
      <w:r w:rsidR="0080353B" w:rsidRPr="001437A5">
        <w:rPr>
          <w:b/>
          <w:snapToGrid w:val="0"/>
          <w:sz w:val="22"/>
          <w:szCs w:val="22"/>
          <w:lang w:val="es-ES"/>
        </w:rPr>
        <w:t>:</w:t>
      </w:r>
    </w:p>
    <w:p w:rsidR="00763A71" w:rsidRPr="001437A5" w:rsidRDefault="00E3562C" w:rsidP="00976287">
      <w:pPr>
        <w:spacing w:before="120" w:after="120"/>
        <w:jc w:val="both"/>
        <w:rPr>
          <w:snapToGrid w:val="0"/>
          <w:sz w:val="22"/>
          <w:szCs w:val="22"/>
          <w:lang w:val="es-ES"/>
        </w:rPr>
      </w:pPr>
      <w:r w:rsidRPr="001437A5">
        <w:rPr>
          <w:snapToGrid w:val="0"/>
          <w:sz w:val="22"/>
          <w:szCs w:val="22"/>
          <w:lang w:val="es-ES"/>
        </w:rPr>
        <w:t>Anguila, Antártida, Antillas Neerlandesas, Aruba</w:t>
      </w:r>
      <w:r w:rsidR="0072389E" w:rsidRPr="001437A5">
        <w:rPr>
          <w:snapToGrid w:val="0"/>
          <w:sz w:val="22"/>
          <w:szCs w:val="22"/>
          <w:lang w:val="es-ES"/>
        </w:rPr>
        <w:t>, Islas Caimán, Islas Malvinas, Islas Georgia del Sur y Sandwich del Sur, Groenlandia, Mayotte, Montserrat, Nueva Calcedonia, Pitcairn, Polinesia Francesa, Santa Elena, San Pedro y Miquelón, Territorios Australes Franceses, Territorio Británico del océano Índico, Islas Turcas y Caicos, Islas Vírgenes Británicas y Wallis y Futuna.</w:t>
      </w:r>
    </w:p>
    <w:p w:rsidR="00495F90" w:rsidRPr="00EF09F9" w:rsidRDefault="003804FC" w:rsidP="00976287">
      <w:pPr>
        <w:spacing w:before="120" w:after="120"/>
        <w:rPr>
          <w:b/>
          <w:snapToGrid w:val="0"/>
          <w:szCs w:val="24"/>
          <w:lang w:val="es-ES"/>
        </w:rPr>
      </w:pPr>
      <w:r w:rsidRPr="001437A5">
        <w:rPr>
          <w:snapToGrid w:val="0"/>
          <w:sz w:val="22"/>
          <w:szCs w:val="22"/>
          <w:lang w:val="es-ES"/>
        </w:rPr>
        <w:br w:type="page"/>
      </w:r>
      <w:r w:rsidR="00B75F83" w:rsidRPr="00EF09F9">
        <w:rPr>
          <w:b/>
          <w:snapToGrid w:val="0"/>
          <w:szCs w:val="24"/>
          <w:lang w:val="es-ES"/>
        </w:rPr>
        <w:lastRenderedPageBreak/>
        <w:t xml:space="preserve">REGLAS DE </w:t>
      </w:r>
      <w:r w:rsidRPr="00EF09F9">
        <w:rPr>
          <w:b/>
          <w:bCs/>
          <w:kern w:val="32"/>
          <w:szCs w:val="24"/>
          <w:lang w:val="es-ES"/>
        </w:rPr>
        <w:t>NA</w:t>
      </w:r>
      <w:r w:rsidR="00D615EB" w:rsidRPr="00EF09F9">
        <w:rPr>
          <w:b/>
          <w:bCs/>
          <w:kern w:val="32"/>
          <w:szCs w:val="24"/>
          <w:lang w:val="es-ES"/>
        </w:rPr>
        <w:t>CIONALIDAD</w:t>
      </w:r>
      <w:r w:rsidR="00B75F83" w:rsidRPr="00EF09F9">
        <w:rPr>
          <w:b/>
          <w:bCs/>
          <w:kern w:val="32"/>
          <w:szCs w:val="24"/>
          <w:lang w:val="es-ES"/>
        </w:rPr>
        <w:t xml:space="preserve"> Y</w:t>
      </w:r>
      <w:r w:rsidR="00D615EB" w:rsidRPr="00EF09F9">
        <w:rPr>
          <w:b/>
          <w:bCs/>
          <w:kern w:val="32"/>
          <w:szCs w:val="24"/>
          <w:lang w:val="es-ES"/>
        </w:rPr>
        <w:t xml:space="preserve"> </w:t>
      </w:r>
      <w:r w:rsidR="00365192" w:rsidRPr="00EF09F9">
        <w:rPr>
          <w:b/>
          <w:bCs/>
          <w:kern w:val="32"/>
          <w:szCs w:val="24"/>
          <w:lang w:val="es-ES"/>
        </w:rPr>
        <w:t xml:space="preserve">ORIGEN Y COSTES ELEGIBLES Y NO </w:t>
      </w:r>
      <w:r w:rsidR="00D615EB" w:rsidRPr="00EF09F9">
        <w:rPr>
          <w:b/>
          <w:bCs/>
          <w:kern w:val="32"/>
          <w:szCs w:val="24"/>
          <w:lang w:val="es-ES"/>
        </w:rPr>
        <w:t>ELEGIBLES PARA EL FONDO EUROPEO DE DESARROLLO</w:t>
      </w:r>
    </w:p>
    <w:p w:rsidR="00495F90" w:rsidRPr="001437A5" w:rsidRDefault="00D615EB" w:rsidP="00976287">
      <w:pPr>
        <w:spacing w:before="120" w:after="120"/>
        <w:rPr>
          <w:sz w:val="22"/>
          <w:szCs w:val="22"/>
          <w:lang w:val="es-ES"/>
        </w:rPr>
      </w:pPr>
      <w:r w:rsidRPr="001437A5">
        <w:rPr>
          <w:b/>
          <w:sz w:val="22"/>
          <w:szCs w:val="22"/>
          <w:lang w:val="es-ES"/>
        </w:rPr>
        <w:t>Anexo IV del Acuerdo ACP-CE firmado en Coton</w:t>
      </w:r>
      <w:r w:rsidR="00365192">
        <w:rPr>
          <w:b/>
          <w:sz w:val="22"/>
          <w:szCs w:val="22"/>
          <w:lang w:val="es-ES"/>
        </w:rPr>
        <w:t xml:space="preserve">ú </w:t>
      </w:r>
      <w:r w:rsidRPr="001437A5">
        <w:rPr>
          <w:b/>
          <w:sz w:val="22"/>
          <w:szCs w:val="22"/>
          <w:lang w:val="es-ES"/>
        </w:rPr>
        <w:t>(artículos 20 y 22)</w:t>
      </w:r>
    </w:p>
    <w:p w:rsidR="00495F90" w:rsidRPr="001437A5" w:rsidRDefault="00B75F83" w:rsidP="00976287">
      <w:pPr>
        <w:keepNext/>
        <w:numPr>
          <w:ilvl w:val="0"/>
          <w:numId w:val="2"/>
        </w:numPr>
        <w:spacing w:before="120" w:after="120"/>
        <w:outlineLvl w:val="0"/>
        <w:rPr>
          <w:sz w:val="22"/>
          <w:szCs w:val="22"/>
          <w:lang w:val="es-ES"/>
        </w:rPr>
      </w:pPr>
      <w:r>
        <w:rPr>
          <w:b/>
          <w:bCs/>
          <w:i/>
          <w:kern w:val="32"/>
          <w:sz w:val="22"/>
          <w:szCs w:val="22"/>
          <w:lang w:val="es-ES"/>
        </w:rPr>
        <w:t>Reglas de n</w:t>
      </w:r>
      <w:r w:rsidR="00495F90" w:rsidRPr="001437A5">
        <w:rPr>
          <w:b/>
          <w:bCs/>
          <w:i/>
          <w:kern w:val="32"/>
          <w:sz w:val="22"/>
          <w:szCs w:val="22"/>
          <w:lang w:val="es-ES"/>
        </w:rPr>
        <w:t>a</w:t>
      </w:r>
      <w:r w:rsidR="00D615EB" w:rsidRPr="001437A5">
        <w:rPr>
          <w:b/>
          <w:bCs/>
          <w:i/>
          <w:kern w:val="32"/>
          <w:sz w:val="22"/>
          <w:szCs w:val="22"/>
          <w:lang w:val="es-ES"/>
        </w:rPr>
        <w:t>cionalidad y origen</w:t>
      </w:r>
      <w:r w:rsidR="00C133DC" w:rsidRPr="001437A5">
        <w:rPr>
          <w:rStyle w:val="FootnoteReference"/>
          <w:b/>
          <w:bCs/>
          <w:kern w:val="32"/>
          <w:sz w:val="22"/>
          <w:szCs w:val="22"/>
          <w:lang w:val="es-ES"/>
        </w:rPr>
        <w:footnoteReference w:id="29"/>
      </w:r>
      <w:r w:rsidR="00495F90" w:rsidRPr="001437A5">
        <w:rPr>
          <w:b/>
          <w:bCs/>
          <w:kern w:val="32"/>
          <w:sz w:val="22"/>
          <w:szCs w:val="22"/>
          <w:lang w:val="es-ES"/>
        </w:rPr>
        <w:t> :</w:t>
      </w:r>
    </w:p>
    <w:p w:rsidR="0008459D" w:rsidRPr="001437A5" w:rsidRDefault="006B23B4" w:rsidP="00976287">
      <w:pPr>
        <w:spacing w:before="120" w:after="120"/>
        <w:ind w:left="709"/>
        <w:jc w:val="both"/>
        <w:rPr>
          <w:sz w:val="22"/>
          <w:szCs w:val="22"/>
          <w:lang w:val="es-ES"/>
        </w:rPr>
      </w:pPr>
      <w:r w:rsidRPr="001437A5">
        <w:rPr>
          <w:sz w:val="22"/>
          <w:szCs w:val="22"/>
          <w:lang w:val="es-ES"/>
        </w:rPr>
        <w:t>A</w:t>
      </w:r>
      <w:r w:rsidR="0085411F" w:rsidRPr="001437A5">
        <w:rPr>
          <w:sz w:val="22"/>
          <w:szCs w:val="22"/>
          <w:lang w:val="es-ES"/>
        </w:rPr>
        <w:t>rt</w:t>
      </w:r>
      <w:r w:rsidR="00D615EB" w:rsidRPr="001437A5">
        <w:rPr>
          <w:sz w:val="22"/>
          <w:szCs w:val="22"/>
          <w:lang w:val="es-ES"/>
        </w:rPr>
        <w:t>ículo 20: Elegibilidad</w:t>
      </w:r>
    </w:p>
    <w:p w:rsidR="00383CF5" w:rsidRPr="001437A5" w:rsidRDefault="0085411F" w:rsidP="00383CF5">
      <w:pPr>
        <w:spacing w:before="120" w:after="120"/>
        <w:ind w:left="709"/>
        <w:jc w:val="both"/>
        <w:rPr>
          <w:sz w:val="22"/>
          <w:szCs w:val="22"/>
          <w:lang w:val="es-ES"/>
        </w:rPr>
      </w:pPr>
      <w:r w:rsidRPr="001437A5">
        <w:rPr>
          <w:sz w:val="22"/>
          <w:szCs w:val="22"/>
          <w:lang w:val="es-ES"/>
        </w:rPr>
        <w:t>Sa</w:t>
      </w:r>
      <w:r w:rsidR="00D615EB" w:rsidRPr="001437A5">
        <w:rPr>
          <w:sz w:val="22"/>
          <w:szCs w:val="22"/>
          <w:lang w:val="es-ES"/>
        </w:rPr>
        <w:t>lvo en caso de excepción concedida de conformidad con el artículo 22</w:t>
      </w:r>
      <w:r w:rsidR="00B75F83">
        <w:rPr>
          <w:sz w:val="22"/>
          <w:szCs w:val="22"/>
          <w:lang w:val="es-ES"/>
        </w:rPr>
        <w:t>,</w:t>
      </w:r>
      <w:r w:rsidR="00D615EB" w:rsidRPr="001437A5">
        <w:rPr>
          <w:sz w:val="22"/>
          <w:szCs w:val="22"/>
          <w:lang w:val="es-ES"/>
        </w:rPr>
        <w:t xml:space="preserve"> y no obstante lo dispuesto en el artículo 26:</w:t>
      </w:r>
    </w:p>
    <w:p w:rsidR="00383CF5" w:rsidRPr="001437A5" w:rsidRDefault="00D615EB" w:rsidP="00383CF5">
      <w:pPr>
        <w:numPr>
          <w:ilvl w:val="0"/>
          <w:numId w:val="8"/>
        </w:numPr>
        <w:spacing w:before="120" w:after="120"/>
        <w:jc w:val="both"/>
        <w:rPr>
          <w:sz w:val="22"/>
          <w:szCs w:val="22"/>
          <w:lang w:val="es-ES"/>
        </w:rPr>
      </w:pPr>
      <w:r w:rsidRPr="001437A5">
        <w:rPr>
          <w:sz w:val="22"/>
          <w:szCs w:val="22"/>
          <w:lang w:val="es-ES"/>
        </w:rPr>
        <w:t xml:space="preserve">La participación en los procedimientos para la adjudicación de los contratos </w:t>
      </w:r>
      <w:r w:rsidR="00B75F83">
        <w:rPr>
          <w:sz w:val="22"/>
          <w:szCs w:val="22"/>
          <w:lang w:val="es-ES"/>
        </w:rPr>
        <w:t>o la concesión de</w:t>
      </w:r>
      <w:r w:rsidRPr="001437A5">
        <w:rPr>
          <w:sz w:val="22"/>
          <w:szCs w:val="22"/>
          <w:lang w:val="es-ES"/>
        </w:rPr>
        <w:t xml:space="preserve"> subvenciones financiados por el marco financiero plurianual de </w:t>
      </w:r>
      <w:r w:rsidR="000E1A44">
        <w:rPr>
          <w:sz w:val="22"/>
          <w:szCs w:val="22"/>
          <w:lang w:val="es-ES"/>
        </w:rPr>
        <w:t>co</w:t>
      </w:r>
      <w:r w:rsidRPr="001437A5">
        <w:rPr>
          <w:sz w:val="22"/>
          <w:szCs w:val="22"/>
          <w:lang w:val="es-ES"/>
        </w:rPr>
        <w:t xml:space="preserve">operación </w:t>
      </w:r>
      <w:r w:rsidR="00B75F83">
        <w:rPr>
          <w:sz w:val="22"/>
          <w:szCs w:val="22"/>
          <w:lang w:val="es-ES"/>
        </w:rPr>
        <w:t xml:space="preserve">en virtud </w:t>
      </w:r>
      <w:r w:rsidRPr="001437A5">
        <w:rPr>
          <w:sz w:val="22"/>
          <w:szCs w:val="22"/>
          <w:lang w:val="es-ES"/>
        </w:rPr>
        <w:t>del presente Acuerdo estará abierta a:</w:t>
      </w:r>
    </w:p>
    <w:p w:rsidR="00383CF5" w:rsidRPr="001437A5" w:rsidRDefault="005D5490" w:rsidP="00776F45">
      <w:pPr>
        <w:numPr>
          <w:ilvl w:val="1"/>
          <w:numId w:val="8"/>
        </w:numPr>
        <w:tabs>
          <w:tab w:val="clear" w:pos="2149"/>
          <w:tab w:val="num" w:pos="1701"/>
        </w:tabs>
        <w:spacing w:before="120" w:after="120"/>
        <w:ind w:left="1701"/>
        <w:jc w:val="both"/>
        <w:rPr>
          <w:sz w:val="22"/>
          <w:szCs w:val="22"/>
          <w:lang w:val="es-ES"/>
        </w:rPr>
      </w:pPr>
      <w:r w:rsidRPr="001437A5">
        <w:rPr>
          <w:sz w:val="22"/>
          <w:szCs w:val="22"/>
          <w:lang w:val="es-ES"/>
        </w:rPr>
        <w:t xml:space="preserve">las personas físicas nacionales de un Estado ACP, un Estado miembro de la Comunidad Europea, un país candidato oficial de la Comunidad Europea o un Estado miembro del Espacio Económico Europeo y las personas jurídicas establecidas en dichos Estados; </w:t>
      </w:r>
    </w:p>
    <w:p w:rsidR="00383CF5" w:rsidRPr="001437A5" w:rsidRDefault="005D5490" w:rsidP="00776F45">
      <w:pPr>
        <w:numPr>
          <w:ilvl w:val="1"/>
          <w:numId w:val="8"/>
        </w:numPr>
        <w:tabs>
          <w:tab w:val="clear" w:pos="2149"/>
          <w:tab w:val="num" w:pos="1701"/>
        </w:tabs>
        <w:spacing w:before="120" w:after="120"/>
        <w:ind w:left="1701"/>
        <w:jc w:val="both"/>
        <w:rPr>
          <w:sz w:val="22"/>
          <w:szCs w:val="22"/>
          <w:lang w:val="es-ES"/>
        </w:rPr>
      </w:pPr>
      <w:r w:rsidRPr="001437A5">
        <w:rPr>
          <w:sz w:val="22"/>
          <w:szCs w:val="22"/>
          <w:lang w:val="es-ES"/>
        </w:rPr>
        <w:t>las personas físicas nacionales de un país menos desarrollado según la definición de las Naciones Unidas y las personas jurídicas establecidas en uno de estos países.</w:t>
      </w:r>
    </w:p>
    <w:p w:rsidR="00383CF5" w:rsidRPr="001437A5" w:rsidRDefault="005D5490" w:rsidP="00776F45">
      <w:pPr>
        <w:numPr>
          <w:ilvl w:val="0"/>
          <w:numId w:val="10"/>
        </w:numPr>
        <w:tabs>
          <w:tab w:val="clear" w:pos="502"/>
          <w:tab w:val="num" w:pos="1418"/>
          <w:tab w:val="num" w:pos="1701"/>
        </w:tabs>
        <w:spacing w:before="120" w:after="120"/>
        <w:ind w:left="1418"/>
        <w:jc w:val="both"/>
        <w:rPr>
          <w:sz w:val="22"/>
          <w:szCs w:val="22"/>
          <w:lang w:val="es-ES"/>
        </w:rPr>
      </w:pPr>
      <w:r w:rsidRPr="001437A5">
        <w:rPr>
          <w:sz w:val="22"/>
          <w:szCs w:val="22"/>
          <w:lang w:val="es-ES"/>
        </w:rPr>
        <w:t xml:space="preserve">La participación en los procedimientos para la adjudicación de contratos o </w:t>
      </w:r>
      <w:r w:rsidR="00B75F83">
        <w:rPr>
          <w:sz w:val="22"/>
          <w:szCs w:val="22"/>
          <w:lang w:val="es-ES"/>
        </w:rPr>
        <w:t xml:space="preserve">la concesión </w:t>
      </w:r>
      <w:r w:rsidRPr="001437A5">
        <w:rPr>
          <w:sz w:val="22"/>
          <w:szCs w:val="22"/>
          <w:lang w:val="es-ES"/>
        </w:rPr>
        <w:t xml:space="preserve">de subvenciones financiados por el marco financiero plurianual de cooperación </w:t>
      </w:r>
      <w:r w:rsidR="00B75F83">
        <w:rPr>
          <w:sz w:val="22"/>
          <w:szCs w:val="22"/>
          <w:lang w:val="es-ES"/>
        </w:rPr>
        <w:t xml:space="preserve">en virtud </w:t>
      </w:r>
      <w:r w:rsidRPr="001437A5">
        <w:rPr>
          <w:sz w:val="22"/>
          <w:szCs w:val="22"/>
          <w:lang w:val="es-ES"/>
        </w:rPr>
        <w:t xml:space="preserve">del presente Acuerdo estará abierta a todas la personas físicas que sean nacionales de cualquier país distinto de los mencionados </w:t>
      </w:r>
      <w:r w:rsidR="00CB758C">
        <w:rPr>
          <w:sz w:val="22"/>
          <w:szCs w:val="22"/>
          <w:lang w:val="es-ES"/>
        </w:rPr>
        <w:t>en</w:t>
      </w:r>
      <w:r w:rsidRPr="001437A5">
        <w:rPr>
          <w:sz w:val="22"/>
          <w:szCs w:val="22"/>
          <w:lang w:val="es-ES"/>
        </w:rPr>
        <w:t xml:space="preserve"> el apartado 1, o a personas jurídicas que estén establecidas en dicho</w:t>
      </w:r>
      <w:r w:rsidR="00CB758C">
        <w:rPr>
          <w:sz w:val="22"/>
          <w:szCs w:val="22"/>
          <w:lang w:val="es-ES"/>
        </w:rPr>
        <w:t>s</w:t>
      </w:r>
      <w:r w:rsidRPr="001437A5">
        <w:rPr>
          <w:sz w:val="22"/>
          <w:szCs w:val="22"/>
          <w:lang w:val="es-ES"/>
        </w:rPr>
        <w:t xml:space="preserve"> país</w:t>
      </w:r>
      <w:r w:rsidR="00CB758C">
        <w:rPr>
          <w:sz w:val="22"/>
          <w:szCs w:val="22"/>
          <w:lang w:val="es-ES"/>
        </w:rPr>
        <w:t>es</w:t>
      </w:r>
      <w:r w:rsidRPr="001437A5">
        <w:rPr>
          <w:sz w:val="22"/>
          <w:szCs w:val="22"/>
          <w:lang w:val="es-ES"/>
        </w:rPr>
        <w:t>, siempre y cuando se hay</w:t>
      </w:r>
      <w:r w:rsidR="00365192">
        <w:rPr>
          <w:sz w:val="22"/>
          <w:szCs w:val="22"/>
          <w:lang w:val="es-ES"/>
        </w:rPr>
        <w:t>a</w:t>
      </w:r>
      <w:r w:rsidRPr="001437A5">
        <w:rPr>
          <w:sz w:val="22"/>
          <w:szCs w:val="22"/>
          <w:lang w:val="es-ES"/>
        </w:rPr>
        <w:t xml:space="preserve"> establecido un acceso recíproco a </w:t>
      </w:r>
      <w:r w:rsidR="00CB758C">
        <w:rPr>
          <w:sz w:val="22"/>
          <w:szCs w:val="22"/>
          <w:lang w:val="es-ES"/>
        </w:rPr>
        <w:t>la</w:t>
      </w:r>
      <w:r w:rsidRPr="001437A5">
        <w:rPr>
          <w:sz w:val="22"/>
          <w:szCs w:val="22"/>
          <w:lang w:val="es-ES"/>
        </w:rPr>
        <w:t xml:space="preserve"> ayuda exterior. El acceso recíproco en los países menos desarrollados</w:t>
      </w:r>
      <w:r w:rsidR="00CB758C">
        <w:rPr>
          <w:sz w:val="22"/>
          <w:szCs w:val="22"/>
          <w:lang w:val="es-ES"/>
        </w:rPr>
        <w:t>, según la definición de</w:t>
      </w:r>
      <w:r w:rsidRPr="001437A5">
        <w:rPr>
          <w:sz w:val="22"/>
          <w:szCs w:val="22"/>
          <w:lang w:val="es-ES"/>
        </w:rPr>
        <w:t xml:space="preserve"> las Naciones Unidas</w:t>
      </w:r>
      <w:r w:rsidR="00CB758C">
        <w:rPr>
          <w:sz w:val="22"/>
          <w:szCs w:val="22"/>
          <w:lang w:val="es-ES"/>
        </w:rPr>
        <w:t>,</w:t>
      </w:r>
      <w:r w:rsidRPr="001437A5">
        <w:rPr>
          <w:sz w:val="22"/>
          <w:szCs w:val="22"/>
          <w:lang w:val="es-ES"/>
        </w:rPr>
        <w:t xml:space="preserve"> será otorgado automáticamente a</w:t>
      </w:r>
      <w:r w:rsidR="00CB758C">
        <w:rPr>
          <w:sz w:val="22"/>
          <w:szCs w:val="22"/>
          <w:lang w:val="es-ES"/>
        </w:rPr>
        <w:t xml:space="preserve"> los miembros </w:t>
      </w:r>
      <w:r w:rsidR="00365192">
        <w:rPr>
          <w:sz w:val="22"/>
          <w:szCs w:val="22"/>
          <w:lang w:val="es-ES"/>
        </w:rPr>
        <w:t>de la OCDE/</w:t>
      </w:r>
      <w:r w:rsidR="00CB758C">
        <w:rPr>
          <w:sz w:val="22"/>
          <w:szCs w:val="22"/>
          <w:lang w:val="es-ES"/>
        </w:rPr>
        <w:t>d</w:t>
      </w:r>
      <w:r w:rsidR="00365192">
        <w:rPr>
          <w:sz w:val="22"/>
          <w:szCs w:val="22"/>
          <w:lang w:val="es-ES"/>
        </w:rPr>
        <w:t xml:space="preserve">el </w:t>
      </w:r>
      <w:r w:rsidRPr="001437A5">
        <w:rPr>
          <w:sz w:val="22"/>
          <w:szCs w:val="22"/>
          <w:lang w:val="es-ES"/>
        </w:rPr>
        <w:t>CAD.</w:t>
      </w:r>
    </w:p>
    <w:p w:rsidR="00383CF5" w:rsidRPr="001437A5" w:rsidRDefault="005D5490" w:rsidP="00383CF5">
      <w:pPr>
        <w:spacing w:before="120" w:after="120"/>
        <w:ind w:left="1418"/>
        <w:jc w:val="both"/>
        <w:rPr>
          <w:sz w:val="22"/>
          <w:szCs w:val="22"/>
          <w:lang w:val="es-ES"/>
        </w:rPr>
      </w:pPr>
      <w:r w:rsidRPr="001437A5">
        <w:rPr>
          <w:sz w:val="22"/>
          <w:szCs w:val="22"/>
          <w:lang w:val="es-ES"/>
        </w:rPr>
        <w:t xml:space="preserve">Se establecerá un acceso recíproco mediante una decisión específica de la Comisión referente a un país determinado o a un </w:t>
      </w:r>
      <w:r w:rsidR="00CB758C">
        <w:rPr>
          <w:sz w:val="22"/>
          <w:szCs w:val="22"/>
          <w:lang w:val="es-ES"/>
        </w:rPr>
        <w:t xml:space="preserve">determinado </w:t>
      </w:r>
      <w:r w:rsidRPr="001437A5">
        <w:rPr>
          <w:sz w:val="22"/>
          <w:szCs w:val="22"/>
          <w:lang w:val="es-ES"/>
        </w:rPr>
        <w:t>grupo regional de países. La decisión deberá de ser adoptada por la Comisión de acuerdo con los Estados ACP y estar en vigor durante al menos un año.</w:t>
      </w:r>
    </w:p>
    <w:p w:rsidR="00383CF5" w:rsidRPr="001437A5" w:rsidRDefault="005D5490" w:rsidP="007F426C">
      <w:pPr>
        <w:numPr>
          <w:ilvl w:val="0"/>
          <w:numId w:val="14"/>
        </w:numPr>
        <w:tabs>
          <w:tab w:val="clear" w:pos="2138"/>
          <w:tab w:val="num" w:pos="1418"/>
        </w:tabs>
        <w:spacing w:before="120" w:after="120"/>
        <w:ind w:left="1418"/>
        <w:jc w:val="both"/>
        <w:rPr>
          <w:sz w:val="22"/>
          <w:szCs w:val="22"/>
          <w:lang w:val="es-ES"/>
        </w:rPr>
      </w:pPr>
      <w:r w:rsidRPr="001437A5">
        <w:rPr>
          <w:sz w:val="22"/>
          <w:szCs w:val="22"/>
          <w:lang w:val="es-ES"/>
        </w:rPr>
        <w:t xml:space="preserve">Los servicios </w:t>
      </w:r>
      <w:r w:rsidR="00CB758C">
        <w:rPr>
          <w:sz w:val="22"/>
          <w:szCs w:val="22"/>
          <w:lang w:val="es-ES"/>
        </w:rPr>
        <w:t xml:space="preserve">en virtud </w:t>
      </w:r>
      <w:r w:rsidRPr="001437A5">
        <w:rPr>
          <w:sz w:val="22"/>
          <w:szCs w:val="22"/>
          <w:lang w:val="es-ES"/>
        </w:rPr>
        <w:t>de un contrato financiado por el marco financiero plurianual de cooperación del presente Acuerdo podrán prestarlos expertos de cualquier nacionalidad, sin perjuicio de los requisitos cualitativos y financieros establecidos en los procedimientos de contratación de la Comunidad.</w:t>
      </w:r>
    </w:p>
    <w:p w:rsidR="00383CF5" w:rsidRPr="001437A5" w:rsidRDefault="005D5490" w:rsidP="007F426C">
      <w:pPr>
        <w:numPr>
          <w:ilvl w:val="1"/>
          <w:numId w:val="14"/>
        </w:numPr>
        <w:tabs>
          <w:tab w:val="clear" w:pos="2138"/>
          <w:tab w:val="num" w:pos="1418"/>
        </w:tabs>
        <w:spacing w:before="120" w:after="120"/>
        <w:ind w:left="1418"/>
        <w:jc w:val="both"/>
        <w:rPr>
          <w:sz w:val="22"/>
          <w:szCs w:val="22"/>
          <w:lang w:val="es-ES"/>
        </w:rPr>
      </w:pPr>
      <w:r w:rsidRPr="001437A5">
        <w:rPr>
          <w:sz w:val="22"/>
          <w:szCs w:val="22"/>
          <w:lang w:val="es-ES"/>
        </w:rPr>
        <w:t xml:space="preserve">Todos los suministros y materiales adquiridos en el marco de un contrato financiado con los recursos del marco financiero plurianual de cooperación </w:t>
      </w:r>
      <w:r w:rsidR="00CB758C">
        <w:rPr>
          <w:sz w:val="22"/>
          <w:szCs w:val="22"/>
          <w:lang w:val="es-ES"/>
        </w:rPr>
        <w:t>en virtud d</w:t>
      </w:r>
      <w:r w:rsidRPr="001437A5">
        <w:rPr>
          <w:sz w:val="22"/>
          <w:szCs w:val="22"/>
          <w:lang w:val="es-ES"/>
        </w:rPr>
        <w:t xml:space="preserve">el presente Acuerdo deberán ser originarios de un Estado elegible </w:t>
      </w:r>
      <w:r w:rsidR="00CB758C">
        <w:rPr>
          <w:sz w:val="22"/>
          <w:szCs w:val="22"/>
          <w:lang w:val="es-ES"/>
        </w:rPr>
        <w:t>en el sentido</w:t>
      </w:r>
      <w:r w:rsidRPr="001437A5">
        <w:rPr>
          <w:sz w:val="22"/>
          <w:szCs w:val="22"/>
          <w:lang w:val="es-ES"/>
        </w:rPr>
        <w:t xml:space="preserve"> del apartado 1</w:t>
      </w:r>
      <w:r w:rsidR="00CB758C">
        <w:rPr>
          <w:sz w:val="22"/>
          <w:szCs w:val="22"/>
          <w:lang w:val="es-ES"/>
        </w:rPr>
        <w:t xml:space="preserve"> o 1a</w:t>
      </w:r>
      <w:r w:rsidRPr="001437A5">
        <w:rPr>
          <w:sz w:val="22"/>
          <w:szCs w:val="22"/>
          <w:lang w:val="es-ES"/>
        </w:rPr>
        <w:t>. En este contexto, la definición del concepto de «productos originarios» será evaluada tomando como referencia los acuerdos internacionales pertinentes, debiendo considerarse también productos originarios de la Comunidad los productos originarios de los países, territorios y departamentos de ultramar.</w:t>
      </w:r>
    </w:p>
    <w:p w:rsidR="007F426C" w:rsidRPr="001437A5" w:rsidRDefault="005D5490" w:rsidP="007F426C">
      <w:pPr>
        <w:numPr>
          <w:ilvl w:val="1"/>
          <w:numId w:val="14"/>
        </w:numPr>
        <w:tabs>
          <w:tab w:val="clear" w:pos="2138"/>
          <w:tab w:val="num" w:pos="1418"/>
        </w:tabs>
        <w:spacing w:before="120" w:after="120"/>
        <w:ind w:left="1418"/>
        <w:jc w:val="both"/>
        <w:rPr>
          <w:sz w:val="22"/>
          <w:szCs w:val="22"/>
          <w:lang w:val="es-ES"/>
        </w:rPr>
      </w:pPr>
      <w:r w:rsidRPr="001437A5">
        <w:rPr>
          <w:sz w:val="22"/>
          <w:szCs w:val="22"/>
          <w:lang w:val="es-ES"/>
        </w:rPr>
        <w:t xml:space="preserve">La participación en los procedimientos de contratación pública y en los procedimientos de concesión de subvenciones financiados con </w:t>
      </w:r>
      <w:r w:rsidR="00CB758C">
        <w:rPr>
          <w:sz w:val="22"/>
          <w:szCs w:val="22"/>
          <w:lang w:val="es-ES"/>
        </w:rPr>
        <w:t>l</w:t>
      </w:r>
      <w:r w:rsidRPr="001437A5">
        <w:rPr>
          <w:sz w:val="22"/>
          <w:szCs w:val="22"/>
          <w:lang w:val="es-ES"/>
        </w:rPr>
        <w:t xml:space="preserve">os recursos del marco financiero </w:t>
      </w:r>
      <w:r w:rsidRPr="001437A5">
        <w:rPr>
          <w:sz w:val="22"/>
          <w:szCs w:val="22"/>
          <w:lang w:val="es-ES"/>
        </w:rPr>
        <w:lastRenderedPageBreak/>
        <w:t xml:space="preserve">plurianual de cooperación </w:t>
      </w:r>
      <w:r w:rsidR="00CB758C">
        <w:rPr>
          <w:sz w:val="22"/>
          <w:szCs w:val="22"/>
          <w:lang w:val="es-ES"/>
        </w:rPr>
        <w:t xml:space="preserve">en virtud </w:t>
      </w:r>
      <w:r w:rsidRPr="001437A5">
        <w:rPr>
          <w:sz w:val="22"/>
          <w:szCs w:val="22"/>
          <w:lang w:val="es-ES"/>
        </w:rPr>
        <w:t>del presente Acuerdo estará abierta a las organizaciones internacionales.</w:t>
      </w:r>
    </w:p>
    <w:p w:rsidR="007F426C" w:rsidRPr="001437A5" w:rsidRDefault="005D5490" w:rsidP="007F426C">
      <w:pPr>
        <w:numPr>
          <w:ilvl w:val="1"/>
          <w:numId w:val="14"/>
        </w:numPr>
        <w:tabs>
          <w:tab w:val="clear" w:pos="2138"/>
          <w:tab w:val="num" w:pos="1418"/>
        </w:tabs>
        <w:spacing w:before="120" w:after="120"/>
        <w:ind w:left="1418"/>
        <w:jc w:val="both"/>
        <w:rPr>
          <w:sz w:val="22"/>
          <w:szCs w:val="22"/>
          <w:lang w:val="es-ES"/>
        </w:rPr>
      </w:pPr>
      <w:r w:rsidRPr="001437A5">
        <w:rPr>
          <w:sz w:val="22"/>
          <w:szCs w:val="22"/>
          <w:lang w:val="es-ES"/>
        </w:rPr>
        <w:t xml:space="preserve">Cuando el marco financiero plurianual de cooperación </w:t>
      </w:r>
      <w:r w:rsidR="00CB758C">
        <w:rPr>
          <w:sz w:val="22"/>
          <w:szCs w:val="22"/>
          <w:lang w:val="es-ES"/>
        </w:rPr>
        <w:t xml:space="preserve">en virtud </w:t>
      </w:r>
      <w:r w:rsidRPr="001437A5">
        <w:rPr>
          <w:sz w:val="22"/>
          <w:szCs w:val="22"/>
          <w:lang w:val="es-ES"/>
        </w:rPr>
        <w:t xml:space="preserve">del presente Acuerdo sufrague una operación realizada a través de </w:t>
      </w:r>
      <w:r w:rsidR="008A7EB9" w:rsidRPr="001437A5">
        <w:rPr>
          <w:sz w:val="22"/>
          <w:szCs w:val="22"/>
          <w:lang w:val="es-ES"/>
        </w:rPr>
        <w:t>una</w:t>
      </w:r>
      <w:r w:rsidRPr="001437A5">
        <w:rPr>
          <w:sz w:val="22"/>
          <w:szCs w:val="22"/>
          <w:lang w:val="es-ES"/>
        </w:rPr>
        <w:t xml:space="preserve"> organización internacional, la participación en los procedimientos de adjudicación de contratos </w:t>
      </w:r>
      <w:r w:rsidR="008A7EB9" w:rsidRPr="001437A5">
        <w:rPr>
          <w:sz w:val="22"/>
          <w:szCs w:val="22"/>
          <w:lang w:val="es-ES"/>
        </w:rPr>
        <w:t>públicos y en los procedimiento</w:t>
      </w:r>
      <w:r w:rsidRPr="001437A5">
        <w:rPr>
          <w:sz w:val="22"/>
          <w:szCs w:val="22"/>
          <w:lang w:val="es-ES"/>
        </w:rPr>
        <w:t>s</w:t>
      </w:r>
      <w:r w:rsidR="008A7EB9" w:rsidRPr="001437A5">
        <w:rPr>
          <w:sz w:val="22"/>
          <w:szCs w:val="22"/>
          <w:lang w:val="es-ES"/>
        </w:rPr>
        <w:t xml:space="preserve"> </w:t>
      </w:r>
      <w:r w:rsidRPr="001437A5">
        <w:rPr>
          <w:sz w:val="22"/>
          <w:szCs w:val="22"/>
          <w:lang w:val="es-ES"/>
        </w:rPr>
        <w:t xml:space="preserve">de concesión de subvenciones estará </w:t>
      </w:r>
      <w:r w:rsidR="008A7EB9" w:rsidRPr="001437A5">
        <w:rPr>
          <w:sz w:val="22"/>
          <w:szCs w:val="22"/>
          <w:lang w:val="es-ES"/>
        </w:rPr>
        <w:t>abierta</w:t>
      </w:r>
      <w:r w:rsidRPr="001437A5">
        <w:rPr>
          <w:sz w:val="22"/>
          <w:szCs w:val="22"/>
          <w:lang w:val="es-ES"/>
        </w:rPr>
        <w:t xml:space="preserve"> a todas las personas físicas y jurídicas que sean elegibles con arreglo a lo dispuesto en los </w:t>
      </w:r>
      <w:r w:rsidR="008A7EB9" w:rsidRPr="001437A5">
        <w:rPr>
          <w:sz w:val="22"/>
          <w:szCs w:val="22"/>
          <w:lang w:val="es-ES"/>
        </w:rPr>
        <w:t>apartados</w:t>
      </w:r>
      <w:r w:rsidRPr="001437A5">
        <w:rPr>
          <w:sz w:val="22"/>
          <w:szCs w:val="22"/>
          <w:lang w:val="es-ES"/>
        </w:rPr>
        <w:t xml:space="preserve"> 1 o 1</w:t>
      </w:r>
      <w:r w:rsidR="00CB758C">
        <w:rPr>
          <w:sz w:val="22"/>
          <w:szCs w:val="22"/>
          <w:lang w:val="es-ES"/>
        </w:rPr>
        <w:t>a</w:t>
      </w:r>
      <w:r w:rsidR="008A7EB9" w:rsidRPr="001437A5">
        <w:rPr>
          <w:sz w:val="22"/>
          <w:szCs w:val="22"/>
          <w:lang w:val="es-ES"/>
        </w:rPr>
        <w:t xml:space="preserve">, así como a todas las personas físicas y jurídicas que sean elegibles de conformidad con el </w:t>
      </w:r>
      <w:r w:rsidR="00E334C9">
        <w:rPr>
          <w:sz w:val="22"/>
          <w:szCs w:val="22"/>
          <w:lang w:val="es-ES"/>
        </w:rPr>
        <w:t>r</w:t>
      </w:r>
      <w:r w:rsidR="008A7EB9" w:rsidRPr="001437A5">
        <w:rPr>
          <w:sz w:val="22"/>
          <w:szCs w:val="22"/>
          <w:lang w:val="es-ES"/>
        </w:rPr>
        <w:t>eglamento de dicha organización, procurando garantizar la igualdad de trato a todos los donantes. Se aplicarán las mi</w:t>
      </w:r>
      <w:r w:rsidR="00E334C9">
        <w:rPr>
          <w:sz w:val="22"/>
          <w:szCs w:val="22"/>
          <w:lang w:val="es-ES"/>
        </w:rPr>
        <w:t>s</w:t>
      </w:r>
      <w:r w:rsidR="008A7EB9" w:rsidRPr="001437A5">
        <w:rPr>
          <w:sz w:val="22"/>
          <w:szCs w:val="22"/>
          <w:lang w:val="es-ES"/>
        </w:rPr>
        <w:t>mas normas a los suministros y los materiales.</w:t>
      </w:r>
    </w:p>
    <w:p w:rsidR="007F426C" w:rsidRPr="001437A5" w:rsidRDefault="008A7EB9" w:rsidP="007F426C">
      <w:pPr>
        <w:numPr>
          <w:ilvl w:val="1"/>
          <w:numId w:val="14"/>
        </w:numPr>
        <w:tabs>
          <w:tab w:val="clear" w:pos="2138"/>
          <w:tab w:val="num" w:pos="1418"/>
        </w:tabs>
        <w:spacing w:before="120" w:after="120"/>
        <w:ind w:left="1418"/>
        <w:jc w:val="both"/>
        <w:rPr>
          <w:sz w:val="22"/>
          <w:szCs w:val="22"/>
          <w:lang w:val="es-ES"/>
        </w:rPr>
      </w:pPr>
      <w:r w:rsidRPr="001437A5">
        <w:rPr>
          <w:sz w:val="22"/>
          <w:szCs w:val="22"/>
          <w:lang w:val="es-ES"/>
        </w:rPr>
        <w:t xml:space="preserve">Cuando el marco financiero plurianual de cooperación </w:t>
      </w:r>
      <w:r w:rsidR="00E334C9">
        <w:rPr>
          <w:sz w:val="22"/>
          <w:szCs w:val="22"/>
          <w:lang w:val="es-ES"/>
        </w:rPr>
        <w:t xml:space="preserve">en virtud </w:t>
      </w:r>
      <w:r w:rsidRPr="001437A5">
        <w:rPr>
          <w:sz w:val="22"/>
          <w:szCs w:val="22"/>
          <w:lang w:val="es-ES"/>
        </w:rPr>
        <w:t>del presente Acuerdo sufrague una operación realizada en el marco de una iniciativa regional, la participación en los procedimientos de adjudicación de contratos y en los procedimientos de concesión de subvenciones estará abierta a todas las personas físicas y jurídicas que sean elegibles con arreglo a lo dispuesto en los apartados 1 o 1</w:t>
      </w:r>
      <w:r w:rsidR="00E334C9">
        <w:rPr>
          <w:sz w:val="22"/>
          <w:szCs w:val="22"/>
          <w:lang w:val="es-ES"/>
        </w:rPr>
        <w:t>a</w:t>
      </w:r>
      <w:r w:rsidRPr="001437A5">
        <w:rPr>
          <w:sz w:val="22"/>
          <w:szCs w:val="22"/>
          <w:lang w:val="es-ES"/>
        </w:rPr>
        <w:t xml:space="preserve">, así como a todas las personas físicas y jurídicas de un Estado que participen en dicha iniciativa. Se aplicarán las mismas normas a los suministros y los materiales. </w:t>
      </w:r>
    </w:p>
    <w:p w:rsidR="007F426C" w:rsidRPr="001437A5" w:rsidRDefault="008A7EB9" w:rsidP="007F426C">
      <w:pPr>
        <w:numPr>
          <w:ilvl w:val="1"/>
          <w:numId w:val="14"/>
        </w:numPr>
        <w:tabs>
          <w:tab w:val="clear" w:pos="2138"/>
          <w:tab w:val="num" w:pos="1418"/>
        </w:tabs>
        <w:spacing w:before="120" w:after="120"/>
        <w:ind w:left="1418"/>
        <w:jc w:val="both"/>
        <w:rPr>
          <w:sz w:val="22"/>
          <w:szCs w:val="22"/>
          <w:lang w:val="es-ES"/>
        </w:rPr>
      </w:pPr>
      <w:r w:rsidRPr="001437A5">
        <w:rPr>
          <w:sz w:val="22"/>
          <w:szCs w:val="22"/>
          <w:lang w:val="es-ES"/>
        </w:rPr>
        <w:t xml:space="preserve">Cuando el marco financiero plurianual de cooperación </w:t>
      </w:r>
      <w:r w:rsidR="00E334C9">
        <w:rPr>
          <w:sz w:val="22"/>
          <w:szCs w:val="22"/>
          <w:lang w:val="es-ES"/>
        </w:rPr>
        <w:t xml:space="preserve">en virtud </w:t>
      </w:r>
      <w:r w:rsidRPr="001437A5">
        <w:rPr>
          <w:sz w:val="22"/>
          <w:szCs w:val="22"/>
          <w:lang w:val="es-ES"/>
        </w:rPr>
        <w:t>del presente Acuerdo sufrague una operación cofinanciada con un tercer Estado, la participación en los procedimientos de adjudicación de contratos y en los procedimientos de concesión de subvenciones estará abierta a todas las personas físicas y jurídicas elegibles con arreglo a lo dispuesto en los apartados 1 o 1</w:t>
      </w:r>
      <w:r w:rsidR="00E334C9">
        <w:rPr>
          <w:sz w:val="22"/>
          <w:szCs w:val="22"/>
          <w:lang w:val="es-ES"/>
        </w:rPr>
        <w:t>a</w:t>
      </w:r>
      <w:r w:rsidRPr="001437A5">
        <w:rPr>
          <w:sz w:val="22"/>
          <w:szCs w:val="22"/>
          <w:lang w:val="es-ES"/>
        </w:rPr>
        <w:t xml:space="preserve">, así como a todas las personas físicas y jurídicas elegibles de conformidad con las normas de dicho tercer Estado. Se aplicarán las mismas normas a los suministros y los materiales. </w:t>
      </w:r>
    </w:p>
    <w:p w:rsidR="0085411F" w:rsidRPr="001437A5" w:rsidRDefault="001B76CE" w:rsidP="00976287">
      <w:pPr>
        <w:spacing w:before="120" w:after="120"/>
        <w:ind w:left="709" w:firstLine="11"/>
        <w:jc w:val="both"/>
        <w:rPr>
          <w:sz w:val="22"/>
          <w:szCs w:val="22"/>
          <w:lang w:val="es-ES"/>
        </w:rPr>
      </w:pPr>
      <w:r w:rsidRPr="001437A5">
        <w:rPr>
          <w:sz w:val="22"/>
          <w:szCs w:val="22"/>
          <w:lang w:val="es-ES"/>
        </w:rPr>
        <w:t>A</w:t>
      </w:r>
      <w:r w:rsidR="0085411F" w:rsidRPr="001437A5">
        <w:rPr>
          <w:sz w:val="22"/>
          <w:szCs w:val="22"/>
          <w:lang w:val="es-ES"/>
        </w:rPr>
        <w:t>rt</w:t>
      </w:r>
      <w:r w:rsidR="008A7EB9" w:rsidRPr="001437A5">
        <w:rPr>
          <w:sz w:val="22"/>
          <w:szCs w:val="22"/>
          <w:lang w:val="es-ES"/>
        </w:rPr>
        <w:t xml:space="preserve">ículo 22: </w:t>
      </w:r>
      <w:r w:rsidR="00365192">
        <w:rPr>
          <w:sz w:val="22"/>
          <w:szCs w:val="22"/>
          <w:lang w:val="es-ES"/>
        </w:rPr>
        <w:t>Excepcion</w:t>
      </w:r>
      <w:r w:rsidR="00E334C9">
        <w:rPr>
          <w:sz w:val="22"/>
          <w:szCs w:val="22"/>
          <w:lang w:val="es-ES"/>
        </w:rPr>
        <w:t>e</w:t>
      </w:r>
      <w:r w:rsidR="00365192">
        <w:rPr>
          <w:sz w:val="22"/>
          <w:szCs w:val="22"/>
          <w:lang w:val="es-ES"/>
        </w:rPr>
        <w:t>s</w:t>
      </w:r>
    </w:p>
    <w:p w:rsidR="00716545" w:rsidRPr="001437A5" w:rsidRDefault="008A7EB9" w:rsidP="00716545">
      <w:pPr>
        <w:numPr>
          <w:ilvl w:val="1"/>
          <w:numId w:val="17"/>
        </w:numPr>
        <w:spacing w:before="120" w:after="120"/>
        <w:jc w:val="both"/>
        <w:rPr>
          <w:sz w:val="22"/>
          <w:szCs w:val="22"/>
          <w:lang w:val="es-ES"/>
        </w:rPr>
      </w:pPr>
      <w:r w:rsidRPr="001437A5">
        <w:rPr>
          <w:sz w:val="22"/>
          <w:szCs w:val="22"/>
          <w:lang w:val="es-ES"/>
        </w:rPr>
        <w:t xml:space="preserve">En casos excepcionales debidamente justificados, podrá autorizarse a personas físicas o jurídicas nacionales de terceros países no elegibles con arreglo a lo dispuesto en el artículo 20 a participar en los procedimientos de adjudicación de contratos públicos y en los procedimientos de concesión de subvenciones financiados por la Comunidad a través del marco financiero plurianual de cooperación </w:t>
      </w:r>
      <w:r w:rsidR="00E334C9">
        <w:rPr>
          <w:sz w:val="22"/>
          <w:szCs w:val="22"/>
          <w:lang w:val="es-ES"/>
        </w:rPr>
        <w:t xml:space="preserve">en virtud </w:t>
      </w:r>
      <w:r w:rsidRPr="001437A5">
        <w:rPr>
          <w:sz w:val="22"/>
          <w:szCs w:val="22"/>
          <w:lang w:val="es-ES"/>
        </w:rPr>
        <w:t>del presente Acuerdo, previa solicitud motivada del Estado ACP o de la organización u organismo a nivel regional o intra-ACP de que se trate. Los Estados ACP o la organización u organismo a nivel regional o intra-ACP de que se trate suministrarán en cada caso a la Comisión la información necesaria para tomar una decisión acerca de estas excepciones atendiendo en particular a:</w:t>
      </w:r>
    </w:p>
    <w:p w:rsidR="00716545" w:rsidRPr="001437A5" w:rsidRDefault="008A7EB9" w:rsidP="00716545">
      <w:pPr>
        <w:numPr>
          <w:ilvl w:val="2"/>
          <w:numId w:val="17"/>
        </w:numPr>
        <w:tabs>
          <w:tab w:val="num" w:pos="2127"/>
        </w:tabs>
        <w:spacing w:before="120" w:after="120"/>
        <w:ind w:left="2127"/>
        <w:jc w:val="both"/>
        <w:rPr>
          <w:sz w:val="22"/>
          <w:szCs w:val="22"/>
          <w:lang w:val="es-ES"/>
        </w:rPr>
      </w:pPr>
      <w:r w:rsidRPr="001437A5">
        <w:rPr>
          <w:sz w:val="22"/>
          <w:szCs w:val="22"/>
          <w:lang w:val="es-ES"/>
        </w:rPr>
        <w:t xml:space="preserve">la localización geográfica del Estado o región ACP de que se trate; </w:t>
      </w:r>
    </w:p>
    <w:p w:rsidR="00716545" w:rsidRPr="001437A5" w:rsidRDefault="008A7EB9" w:rsidP="00716545">
      <w:pPr>
        <w:numPr>
          <w:ilvl w:val="2"/>
          <w:numId w:val="17"/>
        </w:numPr>
        <w:tabs>
          <w:tab w:val="num" w:pos="2127"/>
        </w:tabs>
        <w:spacing w:before="120" w:after="120"/>
        <w:ind w:left="2127"/>
        <w:jc w:val="both"/>
        <w:rPr>
          <w:sz w:val="22"/>
          <w:szCs w:val="22"/>
          <w:lang w:val="es-ES"/>
        </w:rPr>
      </w:pPr>
      <w:r w:rsidRPr="001437A5">
        <w:rPr>
          <w:sz w:val="22"/>
          <w:szCs w:val="22"/>
          <w:lang w:val="es-ES"/>
        </w:rPr>
        <w:t>la competitividad de los empresarios, proveedores y consultores de los Estados miembros y de los Estados ACP;</w:t>
      </w:r>
    </w:p>
    <w:p w:rsidR="00716545" w:rsidRPr="001437A5" w:rsidRDefault="008A7EB9" w:rsidP="00716545">
      <w:pPr>
        <w:numPr>
          <w:ilvl w:val="2"/>
          <w:numId w:val="17"/>
        </w:numPr>
        <w:tabs>
          <w:tab w:val="num" w:pos="2127"/>
        </w:tabs>
        <w:spacing w:before="120" w:after="120"/>
        <w:ind w:left="2127"/>
        <w:jc w:val="both"/>
        <w:rPr>
          <w:sz w:val="22"/>
          <w:szCs w:val="22"/>
          <w:lang w:val="es-ES"/>
        </w:rPr>
      </w:pPr>
      <w:r w:rsidRPr="001437A5">
        <w:rPr>
          <w:sz w:val="22"/>
          <w:szCs w:val="22"/>
          <w:lang w:val="es-ES"/>
        </w:rPr>
        <w:t>la necesidad de evitar aumentos excesivos del coste de ejecución del contrato;</w:t>
      </w:r>
    </w:p>
    <w:p w:rsidR="00716545" w:rsidRPr="001437A5" w:rsidRDefault="008A7EB9" w:rsidP="00716545">
      <w:pPr>
        <w:numPr>
          <w:ilvl w:val="2"/>
          <w:numId w:val="17"/>
        </w:numPr>
        <w:tabs>
          <w:tab w:val="num" w:pos="2127"/>
        </w:tabs>
        <w:spacing w:before="120" w:after="120"/>
        <w:ind w:left="2127"/>
        <w:jc w:val="both"/>
        <w:rPr>
          <w:sz w:val="22"/>
          <w:szCs w:val="22"/>
          <w:lang w:val="es-ES"/>
        </w:rPr>
      </w:pPr>
      <w:r w:rsidRPr="001437A5">
        <w:rPr>
          <w:sz w:val="22"/>
          <w:szCs w:val="22"/>
          <w:lang w:val="es-ES"/>
        </w:rPr>
        <w:t xml:space="preserve">las dificultades de transporte o los retrasos debidos a los plazos de entrega o a otros problemas similares; </w:t>
      </w:r>
    </w:p>
    <w:p w:rsidR="00716545" w:rsidRPr="001437A5" w:rsidRDefault="008A7EB9" w:rsidP="00716545">
      <w:pPr>
        <w:numPr>
          <w:ilvl w:val="2"/>
          <w:numId w:val="17"/>
        </w:numPr>
        <w:tabs>
          <w:tab w:val="num" w:pos="2127"/>
        </w:tabs>
        <w:spacing w:before="120" w:after="120"/>
        <w:ind w:left="2127"/>
        <w:jc w:val="both"/>
        <w:rPr>
          <w:sz w:val="22"/>
          <w:szCs w:val="22"/>
          <w:lang w:val="es-ES"/>
        </w:rPr>
      </w:pPr>
      <w:r w:rsidRPr="001437A5">
        <w:rPr>
          <w:sz w:val="22"/>
          <w:szCs w:val="22"/>
          <w:lang w:val="es-ES"/>
        </w:rPr>
        <w:t>la tecnología que resulte más adecuada y mejor adaptada a las condiciones locales;</w:t>
      </w:r>
    </w:p>
    <w:p w:rsidR="00716545" w:rsidRPr="001437A5" w:rsidRDefault="008A7EB9" w:rsidP="00716545">
      <w:pPr>
        <w:numPr>
          <w:ilvl w:val="2"/>
          <w:numId w:val="17"/>
        </w:numPr>
        <w:tabs>
          <w:tab w:val="num" w:pos="2127"/>
        </w:tabs>
        <w:spacing w:before="120" w:after="120"/>
        <w:ind w:left="2127"/>
        <w:jc w:val="both"/>
        <w:rPr>
          <w:sz w:val="22"/>
          <w:szCs w:val="22"/>
          <w:lang w:val="es-ES"/>
        </w:rPr>
      </w:pPr>
      <w:r w:rsidRPr="001437A5">
        <w:rPr>
          <w:sz w:val="22"/>
          <w:szCs w:val="22"/>
          <w:lang w:val="es-ES"/>
        </w:rPr>
        <w:t>los casos de extrema urgencia;</w:t>
      </w:r>
    </w:p>
    <w:p w:rsidR="00716545" w:rsidRPr="001437A5" w:rsidRDefault="008A7EB9" w:rsidP="00716545">
      <w:pPr>
        <w:numPr>
          <w:ilvl w:val="2"/>
          <w:numId w:val="17"/>
        </w:numPr>
        <w:tabs>
          <w:tab w:val="num" w:pos="2127"/>
        </w:tabs>
        <w:spacing w:before="120" w:after="120"/>
        <w:ind w:left="2127"/>
        <w:jc w:val="both"/>
        <w:rPr>
          <w:sz w:val="22"/>
          <w:szCs w:val="22"/>
          <w:lang w:val="es-ES"/>
        </w:rPr>
      </w:pPr>
      <w:r w:rsidRPr="001437A5">
        <w:rPr>
          <w:sz w:val="22"/>
          <w:szCs w:val="22"/>
          <w:lang w:val="es-ES"/>
        </w:rPr>
        <w:lastRenderedPageBreak/>
        <w:t>la disponibilidad de los productos y los servicios en los mercados de que se trate.</w:t>
      </w:r>
    </w:p>
    <w:p w:rsidR="00716545" w:rsidRPr="001437A5" w:rsidRDefault="008A7EB9" w:rsidP="00716545">
      <w:pPr>
        <w:numPr>
          <w:ilvl w:val="1"/>
          <w:numId w:val="17"/>
        </w:numPr>
        <w:spacing w:before="120" w:after="120"/>
        <w:jc w:val="both"/>
        <w:rPr>
          <w:sz w:val="22"/>
          <w:szCs w:val="22"/>
          <w:lang w:val="es-ES"/>
        </w:rPr>
      </w:pPr>
      <w:r w:rsidRPr="001437A5">
        <w:rPr>
          <w:sz w:val="22"/>
          <w:szCs w:val="22"/>
          <w:lang w:val="es-ES"/>
        </w:rPr>
        <w:t>A los proyectos financiados por el instrumento de ayuda a la inversión se les aplicarán las normas de adjudicación de los contratos del Banco.</w:t>
      </w:r>
    </w:p>
    <w:p w:rsidR="00495F90" w:rsidRPr="001437A5" w:rsidRDefault="008A7EB9" w:rsidP="00976287">
      <w:pPr>
        <w:numPr>
          <w:ilvl w:val="0"/>
          <w:numId w:val="2"/>
        </w:numPr>
        <w:spacing w:before="120" w:after="120"/>
        <w:rPr>
          <w:b/>
          <w:sz w:val="22"/>
          <w:szCs w:val="22"/>
          <w:lang w:val="es-ES"/>
        </w:rPr>
      </w:pPr>
      <w:r w:rsidRPr="001437A5">
        <w:rPr>
          <w:b/>
          <w:i/>
          <w:sz w:val="22"/>
          <w:szCs w:val="22"/>
          <w:lang w:val="es-ES"/>
        </w:rPr>
        <w:t>Costes elegibles y no elegibles</w:t>
      </w:r>
      <w:r w:rsidR="00495F90" w:rsidRPr="001437A5">
        <w:rPr>
          <w:b/>
          <w:i/>
          <w:sz w:val="22"/>
          <w:szCs w:val="22"/>
          <w:lang w:val="es-ES"/>
        </w:rPr>
        <w:t> </w:t>
      </w:r>
      <w:r w:rsidR="00495F90" w:rsidRPr="001437A5">
        <w:rPr>
          <w:b/>
          <w:sz w:val="22"/>
          <w:szCs w:val="22"/>
          <w:lang w:val="es-ES"/>
        </w:rPr>
        <w:t>:</w:t>
      </w:r>
    </w:p>
    <w:p w:rsidR="00495F90" w:rsidRPr="001437A5" w:rsidRDefault="00495F90" w:rsidP="00976287">
      <w:pPr>
        <w:spacing w:before="120" w:after="120"/>
        <w:ind w:firstLine="720"/>
        <w:rPr>
          <w:sz w:val="22"/>
          <w:szCs w:val="22"/>
          <w:lang w:val="es-ES"/>
        </w:rPr>
      </w:pPr>
      <w:r w:rsidRPr="001437A5">
        <w:rPr>
          <w:sz w:val="22"/>
          <w:szCs w:val="22"/>
          <w:lang w:val="es-ES"/>
        </w:rPr>
        <w:sym w:font="Wingdings" w:char="F0E0"/>
      </w:r>
      <w:r w:rsidRPr="001437A5">
        <w:rPr>
          <w:sz w:val="22"/>
          <w:szCs w:val="22"/>
          <w:lang w:val="es-ES"/>
        </w:rPr>
        <w:t xml:space="preserve"> </w:t>
      </w:r>
      <w:r w:rsidR="008A7EB9" w:rsidRPr="001437A5">
        <w:rPr>
          <w:sz w:val="22"/>
          <w:szCs w:val="22"/>
          <w:lang w:val="es-ES"/>
        </w:rPr>
        <w:t>Sin disposiciones específicas.</w:t>
      </w:r>
    </w:p>
    <w:sectPr w:rsidR="00495F90" w:rsidRPr="001437A5" w:rsidSect="00653F8A">
      <w:headerReference w:type="even" r:id="rId12"/>
      <w:headerReference w:type="default" r:id="rId13"/>
      <w:footerReference w:type="even" r:id="rId14"/>
      <w:footerReference w:type="default" r:id="rId15"/>
      <w:headerReference w:type="first" r:id="rId16"/>
      <w:footerReference w:type="first" r:id="rId17"/>
      <w:type w:val="continuous"/>
      <w:pgSz w:w="11913" w:h="16834" w:code="9"/>
      <w:pgMar w:top="1383" w:right="1423" w:bottom="568" w:left="1276" w:header="720" w:footer="720"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5FFC" w:rsidRDefault="00B35FFC">
      <w:r>
        <w:separator/>
      </w:r>
    </w:p>
  </w:endnote>
  <w:endnote w:type="continuationSeparator" w:id="0">
    <w:p w:rsidR="00B35FFC" w:rsidRDefault="00B35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7EB9" w:rsidRDefault="008A7EB9" w:rsidP="007957A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A7EB9" w:rsidRDefault="008A7EB9" w:rsidP="007443C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7EB9" w:rsidRPr="00C35864" w:rsidRDefault="00DD69D3" w:rsidP="009654D8">
    <w:pPr>
      <w:pStyle w:val="Footer"/>
      <w:pBdr>
        <w:top w:val="none" w:sz="0" w:space="0" w:color="auto"/>
      </w:pBdr>
      <w:tabs>
        <w:tab w:val="clear" w:pos="4111"/>
        <w:tab w:val="clear" w:pos="8760"/>
        <w:tab w:val="right" w:pos="9214"/>
      </w:tabs>
      <w:spacing w:before="120"/>
      <w:ind w:right="357"/>
      <w:rPr>
        <w:rFonts w:ascii="Times New Roman" w:hAnsi="Times New Roman"/>
        <w:b w:val="0"/>
        <w:lang w:val="pt-PT"/>
      </w:rPr>
    </w:pPr>
    <w:bookmarkStart w:id="1" w:name="_GoBack"/>
    <w:bookmarkEnd w:id="1"/>
    <w:r w:rsidRPr="00DD69D3">
      <w:rPr>
        <w:rFonts w:ascii="Times New Roman" w:hAnsi="Times New Roman"/>
        <w:szCs w:val="18"/>
        <w:lang w:val="pt-PT"/>
      </w:rPr>
      <w:t>Julio 2019</w:t>
    </w:r>
    <w:r w:rsidR="008A7EB9" w:rsidRPr="00C35864">
      <w:rPr>
        <w:rFonts w:ascii="Times New Roman" w:hAnsi="Times New Roman"/>
        <w:b w:val="0"/>
        <w:lang w:val="pt-PT"/>
      </w:rPr>
      <w:tab/>
    </w:r>
    <w:r w:rsidR="008A7EB9" w:rsidRPr="00C35864">
      <w:rPr>
        <w:rFonts w:ascii="Times New Roman" w:hAnsi="Times New Roman"/>
        <w:b w:val="0"/>
        <w:szCs w:val="18"/>
        <w:lang w:val="pt-PT"/>
      </w:rPr>
      <w:t>P</w:t>
    </w:r>
    <w:r w:rsidR="008A7EB9">
      <w:rPr>
        <w:rFonts w:ascii="Times New Roman" w:hAnsi="Times New Roman"/>
        <w:b w:val="0"/>
        <w:szCs w:val="18"/>
        <w:lang w:val="pt-PT"/>
      </w:rPr>
      <w:t>ágina</w:t>
    </w:r>
    <w:r w:rsidR="008A7EB9" w:rsidRPr="00C35864">
      <w:rPr>
        <w:rFonts w:ascii="Times New Roman" w:hAnsi="Times New Roman"/>
        <w:b w:val="0"/>
        <w:szCs w:val="18"/>
        <w:lang w:val="pt-PT"/>
      </w:rPr>
      <w:t xml:space="preserve"> </w:t>
    </w:r>
    <w:r w:rsidR="008A7EB9" w:rsidRPr="00A96BA3">
      <w:rPr>
        <w:rStyle w:val="PageNumber"/>
        <w:rFonts w:ascii="Times New Roman" w:hAnsi="Times New Roman"/>
        <w:b w:val="0"/>
      </w:rPr>
      <w:fldChar w:fldCharType="begin"/>
    </w:r>
    <w:r w:rsidR="008A7EB9" w:rsidRPr="00C35864">
      <w:rPr>
        <w:rStyle w:val="PageNumber"/>
        <w:rFonts w:ascii="Times New Roman" w:hAnsi="Times New Roman"/>
        <w:b w:val="0"/>
        <w:lang w:val="pt-PT"/>
      </w:rPr>
      <w:instrText xml:space="preserve"> PAGE </w:instrText>
    </w:r>
    <w:r w:rsidR="008A7EB9" w:rsidRPr="00A96BA3">
      <w:rPr>
        <w:rStyle w:val="PageNumber"/>
        <w:rFonts w:ascii="Times New Roman" w:hAnsi="Times New Roman"/>
        <w:b w:val="0"/>
      </w:rPr>
      <w:fldChar w:fldCharType="separate"/>
    </w:r>
    <w:r>
      <w:rPr>
        <w:rStyle w:val="PageNumber"/>
        <w:rFonts w:ascii="Times New Roman" w:hAnsi="Times New Roman"/>
        <w:b w:val="0"/>
        <w:noProof/>
        <w:lang w:val="pt-PT"/>
      </w:rPr>
      <w:t>1</w:t>
    </w:r>
    <w:r w:rsidR="008A7EB9" w:rsidRPr="00A96BA3">
      <w:rPr>
        <w:rStyle w:val="PageNumber"/>
        <w:rFonts w:ascii="Times New Roman" w:hAnsi="Times New Roman"/>
        <w:b w:val="0"/>
      </w:rPr>
      <w:fldChar w:fldCharType="end"/>
    </w:r>
    <w:r w:rsidR="002F7D00" w:rsidRPr="00DD69D3">
      <w:rPr>
        <w:rStyle w:val="PageNumber"/>
        <w:rFonts w:ascii="Times New Roman" w:hAnsi="Times New Roman"/>
        <w:b w:val="0"/>
        <w:lang w:val="pt-PT"/>
      </w:rPr>
      <w:t xml:space="preserve"> </w:t>
    </w:r>
    <w:r w:rsidR="008A7EB9" w:rsidRPr="005E4160">
      <w:rPr>
        <w:rStyle w:val="PageNumber"/>
        <w:rFonts w:ascii="Times New Roman" w:hAnsi="Times New Roman"/>
        <w:b w:val="0"/>
        <w:lang w:val="pt-PT"/>
      </w:rPr>
      <w:t>de</w:t>
    </w:r>
    <w:r w:rsidR="008A7EB9" w:rsidRPr="00C35864">
      <w:rPr>
        <w:rFonts w:ascii="Times New Roman" w:hAnsi="Times New Roman"/>
        <w:b w:val="0"/>
        <w:szCs w:val="18"/>
        <w:lang w:val="pt-PT"/>
      </w:rPr>
      <w:t xml:space="preserve"> </w:t>
    </w:r>
    <w:r w:rsidR="008A7EB9" w:rsidRPr="00A96BA3">
      <w:rPr>
        <w:rStyle w:val="PageNumber"/>
        <w:rFonts w:ascii="Times New Roman" w:hAnsi="Times New Roman"/>
        <w:b w:val="0"/>
      </w:rPr>
      <w:fldChar w:fldCharType="begin"/>
    </w:r>
    <w:r w:rsidR="008A7EB9" w:rsidRPr="00C35864">
      <w:rPr>
        <w:rStyle w:val="PageNumber"/>
        <w:rFonts w:ascii="Times New Roman" w:hAnsi="Times New Roman"/>
        <w:b w:val="0"/>
        <w:lang w:val="pt-PT"/>
      </w:rPr>
      <w:instrText xml:space="preserve"> NUMPAGES </w:instrText>
    </w:r>
    <w:r w:rsidR="008A7EB9" w:rsidRPr="00A96BA3">
      <w:rPr>
        <w:rStyle w:val="PageNumber"/>
        <w:rFonts w:ascii="Times New Roman" w:hAnsi="Times New Roman"/>
        <w:b w:val="0"/>
      </w:rPr>
      <w:fldChar w:fldCharType="separate"/>
    </w:r>
    <w:r>
      <w:rPr>
        <w:rStyle w:val="PageNumber"/>
        <w:rFonts w:ascii="Times New Roman" w:hAnsi="Times New Roman"/>
        <w:b w:val="0"/>
        <w:noProof/>
        <w:lang w:val="pt-PT"/>
      </w:rPr>
      <w:t>14</w:t>
    </w:r>
    <w:r w:rsidR="008A7EB9" w:rsidRPr="00A96BA3">
      <w:rPr>
        <w:rStyle w:val="PageNumber"/>
        <w:rFonts w:ascii="Times New Roman" w:hAnsi="Times New Roman"/>
        <w:b w:val="0"/>
      </w:rPr>
      <w:fldChar w:fldCharType="end"/>
    </w:r>
    <w:r w:rsidR="008A7EB9" w:rsidRPr="00C35864">
      <w:rPr>
        <w:rFonts w:ascii="Times New Roman" w:hAnsi="Times New Roman"/>
        <w:b w:val="0"/>
        <w:lang w:val="pt-PT"/>
      </w:rPr>
      <w:tab/>
    </w:r>
  </w:p>
  <w:p w:rsidR="008A7EB9" w:rsidRPr="00C35864" w:rsidRDefault="00A61B52" w:rsidP="00A61B52">
    <w:pPr>
      <w:rPr>
        <w:sz w:val="18"/>
        <w:szCs w:val="18"/>
        <w:lang w:val="pt-PT" w:eastAsia="en-US"/>
      </w:rPr>
    </w:pPr>
    <w:r w:rsidRPr="0081602B">
      <w:rPr>
        <w:sz w:val="18"/>
        <w:szCs w:val="18"/>
        <w:lang w:val="en-GB" w:eastAsia="en-US"/>
      </w:rPr>
      <w:fldChar w:fldCharType="begin"/>
    </w:r>
    <w:r w:rsidRPr="005E4160">
      <w:rPr>
        <w:sz w:val="18"/>
        <w:szCs w:val="18"/>
        <w:lang w:val="pt-PT" w:eastAsia="en-US"/>
      </w:rPr>
      <w:instrText xml:space="preserve"> FILENAME </w:instrText>
    </w:r>
    <w:r w:rsidRPr="0081602B">
      <w:rPr>
        <w:sz w:val="18"/>
        <w:szCs w:val="18"/>
        <w:lang w:val="en-GB" w:eastAsia="en-US"/>
      </w:rPr>
      <w:fldChar w:fldCharType="separate"/>
    </w:r>
    <w:r w:rsidRPr="005E4160">
      <w:rPr>
        <w:noProof/>
        <w:sz w:val="18"/>
        <w:szCs w:val="18"/>
        <w:lang w:val="pt-PT" w:eastAsia="en-US"/>
      </w:rPr>
      <w:t>a2b1_ecprogrammes_es.doc</w:t>
    </w:r>
    <w:r w:rsidRPr="0081602B">
      <w:rPr>
        <w:sz w:val="18"/>
        <w:szCs w:val="18"/>
        <w:lang w:val="en-GB"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7EB9" w:rsidRDefault="008A7EB9" w:rsidP="005C099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8A7EB9" w:rsidRPr="003804FC" w:rsidRDefault="008A7EB9" w:rsidP="003804FC">
    <w:pPr>
      <w:pStyle w:val="Footer"/>
      <w:tabs>
        <w:tab w:val="clear" w:pos="8760"/>
        <w:tab w:val="right" w:pos="10211"/>
      </w:tabs>
      <w:ind w:right="360"/>
      <w:rPr>
        <w:rFonts w:ascii="Times New Roman" w:hAnsi="Times New Roman"/>
        <w:b w:val="0"/>
        <w:sz w:val="20"/>
      </w:rPr>
    </w:pPr>
    <w:r w:rsidRPr="003804FC">
      <w:rPr>
        <w:rFonts w:ascii="Times New Roman" w:hAnsi="Times New Roman"/>
        <w:b w:val="0"/>
        <w:sz w:val="20"/>
      </w:rPr>
      <w:t>2005</w:t>
    </w:r>
    <w:r w:rsidRPr="003804FC">
      <w:rPr>
        <w:rFonts w:ascii="Times New Roman" w:hAnsi="Times New Roman"/>
        <w:b w:val="0"/>
        <w:sz w:val="20"/>
      </w:rPr>
      <w:tab/>
    </w:r>
    <w:r>
      <w:rPr>
        <w:rFonts w:ascii="Times New Roman" w:hAnsi="Times New Roman"/>
        <w:b w:val="0"/>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5FFC" w:rsidRDefault="00B35FFC">
      <w:r>
        <w:separator/>
      </w:r>
    </w:p>
  </w:footnote>
  <w:footnote w:type="continuationSeparator" w:id="0">
    <w:p w:rsidR="00B35FFC" w:rsidRDefault="00B35FFC">
      <w:r>
        <w:continuationSeparator/>
      </w:r>
    </w:p>
  </w:footnote>
  <w:footnote w:id="1">
    <w:p w:rsidR="008A7EB9" w:rsidRPr="001437A5" w:rsidRDefault="008A7EB9" w:rsidP="00036961">
      <w:pPr>
        <w:pStyle w:val="FootnoteText"/>
        <w:ind w:left="284" w:hanging="284"/>
        <w:rPr>
          <w:lang w:val="es-ES"/>
        </w:rPr>
      </w:pPr>
      <w:r w:rsidRPr="001437A5">
        <w:rPr>
          <w:rStyle w:val="FootnoteReference"/>
          <w:lang w:val="es-ES"/>
        </w:rPr>
        <w:footnoteRef/>
      </w:r>
      <w:r w:rsidRPr="001437A5">
        <w:rPr>
          <w:lang w:val="es-ES"/>
        </w:rPr>
        <w:t xml:space="preserve"> </w:t>
      </w:r>
      <w:r w:rsidR="001437A5" w:rsidRPr="001437A5">
        <w:rPr>
          <w:lang w:val="es-ES"/>
        </w:rPr>
        <w:t>Se elaborará un modelo de notificación de las nuevas normas.</w:t>
      </w:r>
    </w:p>
  </w:footnote>
  <w:footnote w:id="2">
    <w:p w:rsidR="008A7EB9" w:rsidRPr="00DD69D3" w:rsidRDefault="008A7EB9" w:rsidP="00C1621D">
      <w:pPr>
        <w:pStyle w:val="FootnoteText"/>
        <w:ind w:left="426" w:hanging="426"/>
        <w:jc w:val="both"/>
        <w:rPr>
          <w:lang w:val="pt-PT"/>
        </w:rPr>
      </w:pPr>
      <w:r w:rsidRPr="001437A5">
        <w:rPr>
          <w:rStyle w:val="FootnoteReference"/>
          <w:lang w:val="es-ES"/>
        </w:rPr>
        <w:footnoteRef/>
      </w:r>
      <w:r w:rsidRPr="00DD69D3">
        <w:rPr>
          <w:lang w:val="pt-PT"/>
        </w:rPr>
        <w:tab/>
        <w:t>DO L 224 de 6.9.2003, p. 7.</w:t>
      </w:r>
    </w:p>
  </w:footnote>
  <w:footnote w:id="3">
    <w:p w:rsidR="008A7EB9" w:rsidRPr="00DD69D3" w:rsidRDefault="008A7EB9" w:rsidP="00C1621D">
      <w:pPr>
        <w:pStyle w:val="FootnoteText"/>
        <w:ind w:left="426" w:hanging="426"/>
        <w:jc w:val="both"/>
        <w:rPr>
          <w:lang w:val="pt-PT"/>
        </w:rPr>
      </w:pPr>
      <w:r w:rsidRPr="001437A5">
        <w:rPr>
          <w:rStyle w:val="FootnoteReference"/>
          <w:lang w:val="es-ES"/>
        </w:rPr>
        <w:footnoteRef/>
      </w:r>
      <w:r w:rsidRPr="00DD69D3">
        <w:rPr>
          <w:lang w:val="pt-PT"/>
        </w:rPr>
        <w:tab/>
        <w:t>DO L 224</w:t>
      </w:r>
      <w:r w:rsidR="00CF2E98" w:rsidRPr="00DD69D3">
        <w:rPr>
          <w:lang w:val="pt-PT"/>
        </w:rPr>
        <w:t>,</w:t>
      </w:r>
      <w:r w:rsidRPr="00DD69D3">
        <w:rPr>
          <w:lang w:val="pt-PT"/>
        </w:rPr>
        <w:t xml:space="preserve"> de 6.9.2003</w:t>
      </w:r>
      <w:r w:rsidRPr="00DD69D3">
        <w:rPr>
          <w:i/>
          <w:lang w:val="pt-PT"/>
        </w:rPr>
        <w:t>,</w:t>
      </w:r>
      <w:r w:rsidRPr="00DD69D3">
        <w:rPr>
          <w:lang w:val="pt-PT"/>
        </w:rPr>
        <w:t xml:space="preserve"> p. 1.</w:t>
      </w:r>
    </w:p>
  </w:footnote>
  <w:footnote w:id="4">
    <w:p w:rsidR="008A7EB9" w:rsidRPr="00DD69D3" w:rsidRDefault="008A7EB9" w:rsidP="00C1621D">
      <w:pPr>
        <w:pStyle w:val="FootnoteText"/>
        <w:ind w:left="426" w:hanging="426"/>
        <w:jc w:val="both"/>
        <w:rPr>
          <w:lang w:val="pt-PT"/>
        </w:rPr>
      </w:pPr>
      <w:r w:rsidRPr="001437A5">
        <w:rPr>
          <w:rStyle w:val="FootnoteReference"/>
          <w:lang w:val="es-ES"/>
        </w:rPr>
        <w:footnoteRef/>
      </w:r>
      <w:r w:rsidRPr="00DD69D3">
        <w:rPr>
          <w:lang w:val="pt-PT"/>
        </w:rPr>
        <w:tab/>
        <w:t>DO L 234 de 1.9.2001, p. 1.</w:t>
      </w:r>
    </w:p>
  </w:footnote>
  <w:footnote w:id="5">
    <w:p w:rsidR="008A7EB9" w:rsidRPr="00DD69D3" w:rsidRDefault="008A7EB9" w:rsidP="00C1621D">
      <w:pPr>
        <w:pStyle w:val="FootnoteText"/>
        <w:ind w:left="426" w:hanging="426"/>
        <w:jc w:val="both"/>
        <w:rPr>
          <w:lang w:val="pt-PT"/>
        </w:rPr>
      </w:pPr>
      <w:r w:rsidRPr="001437A5">
        <w:rPr>
          <w:rStyle w:val="FootnoteReference"/>
          <w:lang w:val="es-ES"/>
        </w:rPr>
        <w:footnoteRef/>
      </w:r>
      <w:r w:rsidRPr="00DD69D3">
        <w:rPr>
          <w:lang w:val="pt-PT"/>
        </w:rPr>
        <w:tab/>
        <w:t>DO L 288 de 15.11.2000, p. 1.</w:t>
      </w:r>
    </w:p>
  </w:footnote>
  <w:footnote w:id="6">
    <w:p w:rsidR="008A7EB9" w:rsidRPr="00DD69D3" w:rsidRDefault="008A7EB9" w:rsidP="00C1621D">
      <w:pPr>
        <w:pStyle w:val="FootnoteText"/>
        <w:ind w:left="426" w:hanging="426"/>
        <w:jc w:val="both"/>
        <w:rPr>
          <w:lang w:val="pt-PT"/>
        </w:rPr>
      </w:pPr>
      <w:r w:rsidRPr="001437A5">
        <w:rPr>
          <w:rStyle w:val="FootnoteReference"/>
          <w:lang w:val="es-ES"/>
        </w:rPr>
        <w:footnoteRef/>
      </w:r>
      <w:r w:rsidRPr="00DD69D3">
        <w:rPr>
          <w:lang w:val="pt-PT"/>
        </w:rPr>
        <w:tab/>
        <w:t>DO L 288 de 15.11.2000, p. 6.</w:t>
      </w:r>
    </w:p>
  </w:footnote>
  <w:footnote w:id="7">
    <w:p w:rsidR="008A7EB9" w:rsidRPr="001437A5" w:rsidRDefault="008A7EB9" w:rsidP="007E4910">
      <w:pPr>
        <w:pStyle w:val="FootnoteText"/>
        <w:ind w:left="284" w:hanging="284"/>
        <w:jc w:val="both"/>
        <w:rPr>
          <w:lang w:val="es-ES"/>
        </w:rPr>
      </w:pPr>
      <w:r w:rsidRPr="001437A5">
        <w:rPr>
          <w:rStyle w:val="FootnoteReference"/>
          <w:lang w:val="es-ES"/>
        </w:rPr>
        <w:footnoteRef/>
      </w:r>
      <w:r w:rsidRPr="00DD69D3">
        <w:rPr>
          <w:lang w:val="pt-PT"/>
        </w:rPr>
        <w:tab/>
        <w:t xml:space="preserve">DO L 120 de 8.5.1999, p. 1. </w:t>
      </w:r>
      <w:r w:rsidRPr="001437A5">
        <w:rPr>
          <w:lang w:val="es-ES"/>
        </w:rPr>
        <w:t xml:space="preserve">Reglamento modificado en último lugar por el Reglamento (CE) </w:t>
      </w:r>
      <w:r w:rsidR="002F7D00">
        <w:rPr>
          <w:lang w:val="es-ES"/>
        </w:rPr>
        <w:t>n.º</w:t>
      </w:r>
      <w:r w:rsidR="00B75F83">
        <w:rPr>
          <w:lang w:val="es-ES"/>
        </w:rPr>
        <w:t> </w:t>
      </w:r>
      <w:r w:rsidRPr="001437A5">
        <w:rPr>
          <w:lang w:val="es-ES"/>
        </w:rPr>
        <w:t>2240/2004 del Parlamento Europeo y del Consejo (DO L 390 de 31.12.2004, p. 3).</w:t>
      </w:r>
    </w:p>
  </w:footnote>
  <w:footnote w:id="8">
    <w:p w:rsidR="008A7EB9" w:rsidRPr="001437A5" w:rsidRDefault="008A7EB9" w:rsidP="007E4910">
      <w:pPr>
        <w:pStyle w:val="FootnoteText"/>
        <w:ind w:left="284" w:hanging="284"/>
        <w:jc w:val="both"/>
        <w:rPr>
          <w:lang w:val="es-ES"/>
        </w:rPr>
      </w:pPr>
      <w:r w:rsidRPr="001437A5">
        <w:rPr>
          <w:rStyle w:val="FootnoteReference"/>
          <w:lang w:val="es-ES"/>
        </w:rPr>
        <w:footnoteRef/>
      </w:r>
      <w:r w:rsidRPr="001437A5">
        <w:rPr>
          <w:lang w:val="es-ES"/>
        </w:rPr>
        <w:tab/>
        <w:t xml:space="preserve">DO L 354 de 30.12.1998, p. 5. Reglamento modificado por el Reglamento (CE) </w:t>
      </w:r>
      <w:r w:rsidR="002F7D00">
        <w:rPr>
          <w:lang w:val="es-ES"/>
        </w:rPr>
        <w:t>n.º</w:t>
      </w:r>
      <w:r w:rsidR="00B75F83">
        <w:rPr>
          <w:lang w:val="es-ES"/>
        </w:rPr>
        <w:t> </w:t>
      </w:r>
      <w:r w:rsidRPr="001437A5">
        <w:rPr>
          <w:lang w:val="es-ES"/>
        </w:rPr>
        <w:t>1882/2003.</w:t>
      </w:r>
    </w:p>
  </w:footnote>
  <w:footnote w:id="9">
    <w:p w:rsidR="008A7EB9" w:rsidRPr="001437A5" w:rsidRDefault="008A7EB9" w:rsidP="00C1621D">
      <w:pPr>
        <w:pStyle w:val="FootnoteText"/>
        <w:ind w:left="284" w:hanging="284"/>
        <w:jc w:val="both"/>
        <w:rPr>
          <w:lang w:val="es-ES"/>
        </w:rPr>
      </w:pPr>
      <w:r w:rsidRPr="001437A5">
        <w:rPr>
          <w:rStyle w:val="FootnoteReference"/>
          <w:lang w:val="es-ES"/>
        </w:rPr>
        <w:footnoteRef/>
      </w:r>
      <w:r w:rsidRPr="001437A5">
        <w:rPr>
          <w:lang w:val="es-ES"/>
        </w:rPr>
        <w:tab/>
        <w:t xml:space="preserve">DO L 213 de 30.7.1998, p. 1. Reglamento modificado por el Reglamento (CE) </w:t>
      </w:r>
      <w:r w:rsidR="002F7D00">
        <w:rPr>
          <w:lang w:val="es-ES"/>
        </w:rPr>
        <w:t>n.º</w:t>
      </w:r>
      <w:r w:rsidR="00B75F83">
        <w:rPr>
          <w:lang w:val="es-ES"/>
        </w:rPr>
        <w:t> </w:t>
      </w:r>
      <w:r w:rsidRPr="001437A5">
        <w:rPr>
          <w:lang w:val="es-ES"/>
        </w:rPr>
        <w:t>1882/2003.</w:t>
      </w:r>
    </w:p>
  </w:footnote>
  <w:footnote w:id="10">
    <w:p w:rsidR="008A7EB9" w:rsidRPr="001437A5" w:rsidRDefault="008A7EB9" w:rsidP="00C1621D">
      <w:pPr>
        <w:pStyle w:val="FootnoteText"/>
        <w:ind w:left="284" w:hanging="284"/>
        <w:jc w:val="both"/>
        <w:rPr>
          <w:lang w:val="es-ES"/>
        </w:rPr>
      </w:pPr>
      <w:r w:rsidRPr="001437A5">
        <w:rPr>
          <w:rStyle w:val="FootnoteReference"/>
          <w:lang w:val="es-ES"/>
        </w:rPr>
        <w:footnoteRef/>
      </w:r>
      <w:r w:rsidRPr="001437A5">
        <w:rPr>
          <w:lang w:val="es-ES"/>
        </w:rPr>
        <w:tab/>
        <w:t xml:space="preserve">DO L 287 de 21.10.1997, p. 1. Reglamento modificado por el Reglamento (CE) </w:t>
      </w:r>
      <w:r w:rsidR="002F7D00">
        <w:rPr>
          <w:lang w:val="es-ES"/>
        </w:rPr>
        <w:t>n.º</w:t>
      </w:r>
      <w:r w:rsidR="00B75F83">
        <w:rPr>
          <w:lang w:val="es-ES"/>
        </w:rPr>
        <w:t> </w:t>
      </w:r>
      <w:r w:rsidRPr="001437A5">
        <w:rPr>
          <w:lang w:val="es-ES"/>
        </w:rPr>
        <w:t>1882/2003.</w:t>
      </w:r>
    </w:p>
  </w:footnote>
  <w:footnote w:id="11">
    <w:p w:rsidR="008A7EB9" w:rsidRPr="001437A5" w:rsidRDefault="008A7EB9" w:rsidP="00C1621D">
      <w:pPr>
        <w:pStyle w:val="FootnoteText"/>
        <w:ind w:left="284" w:hanging="284"/>
        <w:jc w:val="both"/>
        <w:rPr>
          <w:lang w:val="es-ES"/>
        </w:rPr>
      </w:pPr>
      <w:r w:rsidRPr="001437A5">
        <w:rPr>
          <w:rStyle w:val="FootnoteReference"/>
          <w:lang w:val="es-ES"/>
        </w:rPr>
        <w:footnoteRef/>
      </w:r>
      <w:r w:rsidRPr="001437A5">
        <w:rPr>
          <w:lang w:val="es-ES"/>
        </w:rPr>
        <w:tab/>
        <w:t xml:space="preserve">DO L 306 de 28.11.1996, p. 1. Reglamento modificado por el Reglamento (CE) </w:t>
      </w:r>
      <w:r w:rsidR="002F7D00">
        <w:rPr>
          <w:lang w:val="es-ES"/>
        </w:rPr>
        <w:t>n.º</w:t>
      </w:r>
      <w:r w:rsidR="00B75F83">
        <w:rPr>
          <w:lang w:val="es-ES"/>
        </w:rPr>
        <w:t> </w:t>
      </w:r>
      <w:r w:rsidRPr="001437A5">
        <w:rPr>
          <w:lang w:val="es-ES"/>
        </w:rPr>
        <w:t>1882/2003.</w:t>
      </w:r>
    </w:p>
  </w:footnote>
  <w:footnote w:id="12">
    <w:p w:rsidR="008A7EB9" w:rsidRPr="001437A5" w:rsidRDefault="008A7EB9" w:rsidP="00C1621D">
      <w:pPr>
        <w:pStyle w:val="FootnoteText"/>
        <w:ind w:left="284" w:hanging="284"/>
        <w:jc w:val="both"/>
        <w:rPr>
          <w:lang w:val="es-ES"/>
        </w:rPr>
      </w:pPr>
      <w:r w:rsidRPr="001437A5">
        <w:rPr>
          <w:rStyle w:val="FootnoteReference"/>
          <w:lang w:val="es-ES"/>
        </w:rPr>
        <w:footnoteRef/>
      </w:r>
      <w:r w:rsidRPr="001437A5">
        <w:rPr>
          <w:lang w:val="es-ES"/>
        </w:rPr>
        <w:tab/>
        <w:t xml:space="preserve">DO L 166 de 5.7.1996, p. 1. Reglamento modificado por el Reglamento (CE) </w:t>
      </w:r>
      <w:r w:rsidR="002F7D00">
        <w:rPr>
          <w:lang w:val="es-ES"/>
        </w:rPr>
        <w:t>n.º</w:t>
      </w:r>
      <w:r w:rsidR="00B75F83">
        <w:rPr>
          <w:lang w:val="es-ES"/>
        </w:rPr>
        <w:t> </w:t>
      </w:r>
      <w:r w:rsidRPr="001437A5">
        <w:rPr>
          <w:lang w:val="es-ES"/>
        </w:rPr>
        <w:t>1882/2003.</w:t>
      </w:r>
    </w:p>
  </w:footnote>
  <w:footnote w:id="13">
    <w:p w:rsidR="008A7EB9" w:rsidRPr="001437A5" w:rsidRDefault="008A7EB9" w:rsidP="00C1621D">
      <w:pPr>
        <w:pStyle w:val="FootnoteText"/>
        <w:ind w:left="284" w:hanging="284"/>
        <w:jc w:val="both"/>
        <w:rPr>
          <w:i/>
          <w:lang w:val="es-ES"/>
        </w:rPr>
      </w:pPr>
      <w:r w:rsidRPr="00CC24EA">
        <w:rPr>
          <w:rStyle w:val="FootnoteReference"/>
          <w:lang w:val="es-ES"/>
        </w:rPr>
        <w:footnoteRef/>
      </w:r>
      <w:r w:rsidRPr="001437A5">
        <w:rPr>
          <w:i/>
          <w:lang w:val="es-ES"/>
        </w:rPr>
        <w:t xml:space="preserve"> </w:t>
      </w:r>
      <w:r w:rsidRPr="001437A5">
        <w:rPr>
          <w:i/>
          <w:lang w:val="es-ES"/>
        </w:rPr>
        <w:tab/>
      </w:r>
      <w:r w:rsidRPr="001437A5">
        <w:rPr>
          <w:lang w:val="es-ES"/>
        </w:rPr>
        <w:t>DO L</w:t>
      </w:r>
      <w:r w:rsidRPr="001437A5">
        <w:rPr>
          <w:rStyle w:val="Emphasis"/>
          <w:i w:val="0"/>
          <w:lang w:val="es-ES"/>
        </w:rPr>
        <w:t xml:space="preserve"> 234 de 1.9.2001, p. 6.</w:t>
      </w:r>
    </w:p>
  </w:footnote>
  <w:footnote w:id="14">
    <w:p w:rsidR="008A7EB9" w:rsidRPr="001437A5" w:rsidRDefault="008A7EB9" w:rsidP="00C1621D">
      <w:pPr>
        <w:pStyle w:val="FootnoteText"/>
        <w:tabs>
          <w:tab w:val="left" w:pos="709"/>
        </w:tabs>
        <w:ind w:left="284" w:hanging="284"/>
        <w:jc w:val="both"/>
        <w:rPr>
          <w:lang w:val="es-ES"/>
        </w:rPr>
      </w:pPr>
      <w:r w:rsidRPr="001437A5">
        <w:rPr>
          <w:rStyle w:val="FootnoteReference"/>
          <w:lang w:val="es-ES"/>
        </w:rPr>
        <w:footnoteRef/>
      </w:r>
      <w:r w:rsidRPr="001437A5">
        <w:rPr>
          <w:lang w:val="es-ES"/>
        </w:rPr>
        <w:tab/>
        <w:t xml:space="preserve">DO L 120 de 8.5.1999, p. 8. Reglamento modificado por el Reglamento (CE) </w:t>
      </w:r>
      <w:r w:rsidR="002F7D00">
        <w:rPr>
          <w:lang w:val="es-ES"/>
        </w:rPr>
        <w:t>n.º</w:t>
      </w:r>
      <w:r w:rsidR="00B75F83">
        <w:rPr>
          <w:lang w:val="es-ES"/>
        </w:rPr>
        <w:t> </w:t>
      </w:r>
      <w:r w:rsidRPr="001437A5">
        <w:rPr>
          <w:bCs/>
          <w:lang w:val="es-ES"/>
        </w:rPr>
        <w:t>2242/2004 (DO L 390</w:t>
      </w:r>
      <w:r w:rsidR="00EB56C3">
        <w:rPr>
          <w:bCs/>
          <w:lang w:val="es-ES"/>
        </w:rPr>
        <w:t xml:space="preserve"> de </w:t>
      </w:r>
      <w:r w:rsidRPr="001437A5">
        <w:rPr>
          <w:bCs/>
          <w:lang w:val="es-ES"/>
        </w:rPr>
        <w:t>31.12.2004, p. 21).</w:t>
      </w:r>
    </w:p>
  </w:footnote>
  <w:footnote w:id="15">
    <w:p w:rsidR="008A7EB9" w:rsidRPr="001437A5" w:rsidRDefault="008A7EB9" w:rsidP="00C1621D">
      <w:pPr>
        <w:pStyle w:val="FootnoteText"/>
        <w:ind w:left="284" w:hanging="284"/>
        <w:jc w:val="both"/>
        <w:rPr>
          <w:lang w:val="es-ES"/>
        </w:rPr>
      </w:pPr>
      <w:r w:rsidRPr="001437A5">
        <w:rPr>
          <w:rStyle w:val="FootnoteReference"/>
          <w:lang w:val="es-ES"/>
        </w:rPr>
        <w:footnoteRef/>
      </w:r>
      <w:r w:rsidRPr="001437A5">
        <w:rPr>
          <w:lang w:val="es-ES"/>
        </w:rPr>
        <w:tab/>
        <w:t>DO L 39 de 9.2.2001, p. 1.</w:t>
      </w:r>
    </w:p>
  </w:footnote>
  <w:footnote w:id="16">
    <w:p w:rsidR="008A7EB9" w:rsidRPr="001437A5" w:rsidRDefault="008A7EB9" w:rsidP="00C1621D">
      <w:pPr>
        <w:pStyle w:val="FootnoteText"/>
        <w:ind w:left="284" w:hanging="284"/>
        <w:jc w:val="both"/>
        <w:rPr>
          <w:lang w:val="es-ES"/>
        </w:rPr>
      </w:pPr>
      <w:r w:rsidRPr="001437A5">
        <w:rPr>
          <w:rStyle w:val="FootnoteReference"/>
          <w:lang w:val="es-ES"/>
        </w:rPr>
        <w:footnoteRef/>
      </w:r>
      <w:r w:rsidRPr="001437A5">
        <w:rPr>
          <w:lang w:val="es-ES"/>
        </w:rPr>
        <w:tab/>
        <w:t xml:space="preserve">DO L 287 de 31.10.2001, p. 3. Reglamento modificado por el Reglamento (CE) </w:t>
      </w:r>
      <w:r w:rsidR="002F7D00">
        <w:rPr>
          <w:lang w:val="es-ES"/>
        </w:rPr>
        <w:t>n.º</w:t>
      </w:r>
      <w:r w:rsidR="00B75F83">
        <w:rPr>
          <w:lang w:val="es-ES"/>
        </w:rPr>
        <w:t> </w:t>
      </w:r>
      <w:r w:rsidRPr="001437A5">
        <w:rPr>
          <w:lang w:val="es-ES"/>
        </w:rPr>
        <w:t>107/2005 (DO L 23</w:t>
      </w:r>
      <w:r w:rsidR="00EB56C3">
        <w:rPr>
          <w:lang w:val="es-ES"/>
        </w:rPr>
        <w:t xml:space="preserve"> de </w:t>
      </w:r>
      <w:r w:rsidRPr="001437A5">
        <w:rPr>
          <w:lang w:val="es-ES"/>
        </w:rPr>
        <w:t>26.1.2005, p. 1).</w:t>
      </w:r>
    </w:p>
  </w:footnote>
  <w:footnote w:id="17">
    <w:p w:rsidR="008A7EB9" w:rsidRPr="001437A5" w:rsidRDefault="008A7EB9" w:rsidP="00C1621D">
      <w:pPr>
        <w:pStyle w:val="FootnoteText"/>
        <w:ind w:left="284" w:hanging="284"/>
        <w:jc w:val="both"/>
        <w:rPr>
          <w:lang w:val="es-ES"/>
        </w:rPr>
      </w:pPr>
      <w:r w:rsidRPr="001437A5">
        <w:rPr>
          <w:rStyle w:val="FootnoteReference"/>
          <w:lang w:val="es-ES"/>
        </w:rPr>
        <w:footnoteRef/>
      </w:r>
      <w:r w:rsidRPr="001437A5">
        <w:rPr>
          <w:lang w:val="es-ES"/>
        </w:rPr>
        <w:tab/>
        <w:t xml:space="preserve">DO L 198 de 4.8.2000, p. 1. Reglamento modificado por el Reglamento (CE) </w:t>
      </w:r>
      <w:r w:rsidR="002F7D00">
        <w:rPr>
          <w:lang w:val="es-ES"/>
        </w:rPr>
        <w:t>n.º</w:t>
      </w:r>
      <w:r w:rsidR="00B75F83">
        <w:rPr>
          <w:lang w:val="es-ES"/>
        </w:rPr>
        <w:t> </w:t>
      </w:r>
      <w:r w:rsidRPr="001437A5">
        <w:rPr>
          <w:lang w:val="es-ES"/>
        </w:rPr>
        <w:t>1934/2004 (DO L 338</w:t>
      </w:r>
      <w:r w:rsidR="00EB56C3">
        <w:rPr>
          <w:lang w:val="es-ES"/>
        </w:rPr>
        <w:t xml:space="preserve"> de </w:t>
      </w:r>
      <w:r w:rsidRPr="001437A5">
        <w:rPr>
          <w:lang w:val="es-ES"/>
        </w:rPr>
        <w:t>13.11.2004, p. 1).</w:t>
      </w:r>
    </w:p>
  </w:footnote>
  <w:footnote w:id="18">
    <w:p w:rsidR="008A7EB9" w:rsidRPr="001437A5" w:rsidRDefault="008A7EB9" w:rsidP="00C1621D">
      <w:pPr>
        <w:pStyle w:val="FootnoteText"/>
        <w:ind w:left="284" w:hanging="284"/>
        <w:jc w:val="both"/>
        <w:rPr>
          <w:lang w:val="es-ES"/>
        </w:rPr>
      </w:pPr>
      <w:r w:rsidRPr="001437A5">
        <w:rPr>
          <w:rStyle w:val="FootnoteReference"/>
          <w:lang w:val="es-ES"/>
        </w:rPr>
        <w:footnoteRef/>
      </w:r>
      <w:r w:rsidRPr="001437A5">
        <w:rPr>
          <w:lang w:val="es-ES"/>
        </w:rPr>
        <w:tab/>
        <w:t xml:space="preserve">DO L 182 de 16.7.1994, p. 4. Reglamento modificado en último lugar por el Reglamento (CE) </w:t>
      </w:r>
      <w:r w:rsidR="002F7D00">
        <w:rPr>
          <w:lang w:val="es-ES"/>
        </w:rPr>
        <w:t>n.º</w:t>
      </w:r>
      <w:r w:rsidR="00B75F83">
        <w:rPr>
          <w:lang w:val="es-ES"/>
        </w:rPr>
        <w:t> </w:t>
      </w:r>
      <w:r w:rsidRPr="001437A5">
        <w:rPr>
          <w:lang w:val="es-ES"/>
        </w:rPr>
        <w:t>669/2004 del Parlamento Europeo y del Consejo (DO L 105 de 14.4.2004. p.</w:t>
      </w:r>
      <w:r w:rsidR="00CC24EA">
        <w:rPr>
          <w:lang w:val="es-ES"/>
        </w:rPr>
        <w:t xml:space="preserve"> </w:t>
      </w:r>
      <w:r w:rsidRPr="001437A5">
        <w:rPr>
          <w:lang w:val="es-ES"/>
        </w:rPr>
        <w:t>1).</w:t>
      </w:r>
    </w:p>
  </w:footnote>
  <w:footnote w:id="19">
    <w:p w:rsidR="008A7EB9" w:rsidRPr="001437A5" w:rsidRDefault="008A7EB9" w:rsidP="00C1621D">
      <w:pPr>
        <w:pStyle w:val="FootnoteText"/>
        <w:ind w:left="284" w:hanging="284"/>
        <w:jc w:val="both"/>
        <w:rPr>
          <w:lang w:val="es-ES"/>
        </w:rPr>
      </w:pPr>
      <w:r w:rsidRPr="001437A5">
        <w:rPr>
          <w:rStyle w:val="FootnoteReference"/>
          <w:lang w:val="es-ES"/>
        </w:rPr>
        <w:footnoteRef/>
      </w:r>
      <w:r w:rsidRPr="001437A5">
        <w:rPr>
          <w:lang w:val="es-ES"/>
        </w:rPr>
        <w:t xml:space="preserve"> </w:t>
      </w:r>
      <w:r w:rsidRPr="001437A5">
        <w:rPr>
          <w:lang w:val="es-ES"/>
        </w:rPr>
        <w:tab/>
        <w:t xml:space="preserve">DO L 342 de 27.12.2001, p. 1 modificado en último lugar por el Reglamento (CE) </w:t>
      </w:r>
      <w:r w:rsidR="002F7D00">
        <w:rPr>
          <w:lang w:val="es-ES"/>
        </w:rPr>
        <w:t xml:space="preserve">n.º </w:t>
      </w:r>
      <w:r w:rsidRPr="001437A5">
        <w:rPr>
          <w:lang w:val="es-ES"/>
        </w:rPr>
        <w:t>850/2005 (DO L 141 de 4.6.2005, p. 1).</w:t>
      </w:r>
    </w:p>
  </w:footnote>
  <w:footnote w:id="20">
    <w:p w:rsidR="008A7EB9" w:rsidRPr="001437A5" w:rsidRDefault="008A7EB9" w:rsidP="00C1621D">
      <w:pPr>
        <w:pStyle w:val="FootnoteText"/>
        <w:ind w:left="284" w:hanging="284"/>
        <w:rPr>
          <w:lang w:val="es-ES"/>
        </w:rPr>
      </w:pPr>
      <w:r w:rsidRPr="001437A5">
        <w:rPr>
          <w:rStyle w:val="FootnoteReference"/>
          <w:lang w:val="es-ES"/>
        </w:rPr>
        <w:footnoteRef/>
      </w:r>
      <w:r w:rsidRPr="001437A5">
        <w:rPr>
          <w:lang w:val="es-ES"/>
        </w:rPr>
        <w:t xml:space="preserve"> </w:t>
      </w:r>
      <w:r w:rsidRPr="001437A5">
        <w:rPr>
          <w:lang w:val="es-ES"/>
        </w:rPr>
        <w:tab/>
        <w:t>DO L 306 de</w:t>
      </w:r>
      <w:r w:rsidR="00EB56C3">
        <w:rPr>
          <w:lang w:val="es-ES"/>
        </w:rPr>
        <w:t xml:space="preserve"> </w:t>
      </w:r>
      <w:r w:rsidR="00EB56C3" w:rsidRPr="001437A5">
        <w:rPr>
          <w:lang w:val="es-ES"/>
        </w:rPr>
        <w:t>7</w:t>
      </w:r>
      <w:r w:rsidRPr="001437A5">
        <w:rPr>
          <w:lang w:val="es-ES"/>
        </w:rPr>
        <w:t xml:space="preserve">.12.2004, p. 1 modificado en último lugar por el Reglamento (CE) </w:t>
      </w:r>
      <w:r w:rsidR="002F7D00">
        <w:rPr>
          <w:lang w:val="es-ES"/>
        </w:rPr>
        <w:t>n.º</w:t>
      </w:r>
      <w:r w:rsidR="00B75F83">
        <w:rPr>
          <w:lang w:val="es-ES"/>
        </w:rPr>
        <w:t> </w:t>
      </w:r>
      <w:r w:rsidRPr="001437A5">
        <w:rPr>
          <w:lang w:val="es-ES"/>
        </w:rPr>
        <w:t>2257/2004 (DO L 389</w:t>
      </w:r>
      <w:r w:rsidR="00EB56C3">
        <w:rPr>
          <w:lang w:val="es-ES"/>
        </w:rPr>
        <w:t xml:space="preserve"> de </w:t>
      </w:r>
      <w:r w:rsidRPr="001437A5">
        <w:rPr>
          <w:lang w:val="es-ES"/>
        </w:rPr>
        <w:t>30.12.2004, p. 1).</w:t>
      </w:r>
    </w:p>
  </w:footnote>
  <w:footnote w:id="21">
    <w:p w:rsidR="008A7EB9" w:rsidRPr="001437A5" w:rsidRDefault="008A7EB9" w:rsidP="00C1621D">
      <w:pPr>
        <w:pStyle w:val="FootnoteText"/>
        <w:ind w:left="284" w:hanging="284"/>
        <w:rPr>
          <w:lang w:val="es-ES"/>
        </w:rPr>
      </w:pPr>
      <w:r w:rsidRPr="001437A5">
        <w:rPr>
          <w:rStyle w:val="FootnoteReference"/>
          <w:lang w:val="es-ES"/>
        </w:rPr>
        <w:footnoteRef/>
      </w:r>
      <w:r w:rsidRPr="001437A5">
        <w:rPr>
          <w:lang w:val="es-ES"/>
        </w:rPr>
        <w:t xml:space="preserve"> </w:t>
      </w:r>
      <w:r w:rsidRPr="001437A5">
        <w:rPr>
          <w:lang w:val="es-ES"/>
        </w:rPr>
        <w:tab/>
        <w:t>DO L 12 de 18.1.2000, p. 1.</w:t>
      </w:r>
    </w:p>
  </w:footnote>
  <w:footnote w:id="22">
    <w:p w:rsidR="008A7EB9" w:rsidRPr="001437A5" w:rsidRDefault="008A7EB9" w:rsidP="00C1621D">
      <w:pPr>
        <w:pStyle w:val="FootnoteText"/>
        <w:ind w:left="284" w:hanging="284"/>
        <w:rPr>
          <w:lang w:val="es-ES"/>
        </w:rPr>
      </w:pPr>
      <w:r w:rsidRPr="001437A5">
        <w:rPr>
          <w:rStyle w:val="FootnoteReference"/>
          <w:lang w:val="es-ES"/>
        </w:rPr>
        <w:footnoteRef/>
      </w:r>
      <w:r w:rsidRPr="001437A5">
        <w:rPr>
          <w:lang w:val="es-ES"/>
        </w:rPr>
        <w:t xml:space="preserve"> </w:t>
      </w:r>
      <w:r w:rsidRPr="001437A5">
        <w:rPr>
          <w:lang w:val="es-ES"/>
        </w:rPr>
        <w:tab/>
        <w:t xml:space="preserve">DO L 161 de 26.6.1999, p. 73, modificado en último lugar por el Reglamento (CE) </w:t>
      </w:r>
      <w:r w:rsidR="002F7D00">
        <w:rPr>
          <w:lang w:val="es-ES"/>
        </w:rPr>
        <w:t>n.º</w:t>
      </w:r>
      <w:r w:rsidR="00B75F83">
        <w:rPr>
          <w:lang w:val="es-ES"/>
        </w:rPr>
        <w:t> </w:t>
      </w:r>
      <w:r w:rsidRPr="001437A5">
        <w:rPr>
          <w:lang w:val="es-ES"/>
        </w:rPr>
        <w:t>2257/2004.</w:t>
      </w:r>
    </w:p>
  </w:footnote>
  <w:footnote w:id="23">
    <w:p w:rsidR="008A7EB9" w:rsidRPr="001437A5" w:rsidRDefault="008A7EB9" w:rsidP="00C1621D">
      <w:pPr>
        <w:pStyle w:val="FootnoteText"/>
        <w:ind w:left="284" w:hanging="284"/>
        <w:jc w:val="both"/>
        <w:rPr>
          <w:lang w:val="es-ES"/>
        </w:rPr>
      </w:pPr>
      <w:r w:rsidRPr="001437A5">
        <w:rPr>
          <w:rStyle w:val="FootnoteReference"/>
          <w:lang w:val="es-ES"/>
        </w:rPr>
        <w:footnoteRef/>
      </w:r>
      <w:r w:rsidRPr="001437A5">
        <w:rPr>
          <w:lang w:val="es-ES"/>
        </w:rPr>
        <w:t xml:space="preserve"> </w:t>
      </w:r>
      <w:r w:rsidRPr="001437A5">
        <w:rPr>
          <w:lang w:val="es-ES"/>
        </w:rPr>
        <w:tab/>
        <w:t xml:space="preserve">DO L 161 de 26.6.1999, p. 87, modificado en último lugar por el Reglamento (CE) </w:t>
      </w:r>
      <w:r w:rsidR="002F7D00">
        <w:rPr>
          <w:lang w:val="es-ES"/>
        </w:rPr>
        <w:t>n.º</w:t>
      </w:r>
      <w:r w:rsidR="00B75F83">
        <w:rPr>
          <w:lang w:val="es-ES"/>
        </w:rPr>
        <w:t> </w:t>
      </w:r>
      <w:r w:rsidRPr="001437A5">
        <w:rPr>
          <w:lang w:val="es-ES"/>
        </w:rPr>
        <w:t>2257/2004.</w:t>
      </w:r>
    </w:p>
  </w:footnote>
  <w:footnote w:id="24">
    <w:p w:rsidR="008A7EB9" w:rsidRPr="001437A5" w:rsidRDefault="008A7EB9" w:rsidP="00C1621D">
      <w:pPr>
        <w:pStyle w:val="FootnoteText"/>
        <w:ind w:left="284" w:hanging="284"/>
        <w:rPr>
          <w:lang w:val="es-ES"/>
        </w:rPr>
      </w:pPr>
      <w:r w:rsidRPr="001437A5">
        <w:rPr>
          <w:rStyle w:val="FootnoteReference"/>
          <w:lang w:val="es-ES"/>
        </w:rPr>
        <w:footnoteRef/>
      </w:r>
      <w:r w:rsidRPr="001437A5">
        <w:rPr>
          <w:lang w:val="es-ES"/>
        </w:rPr>
        <w:t xml:space="preserve"> </w:t>
      </w:r>
      <w:r w:rsidRPr="001437A5">
        <w:rPr>
          <w:lang w:val="es-ES"/>
        </w:rPr>
        <w:tab/>
        <w:t xml:space="preserve">DO L 189 de 30.7.1996, modificado en último lugar por el Reglamento (CE) </w:t>
      </w:r>
      <w:r w:rsidR="002F7D00">
        <w:rPr>
          <w:lang w:val="es-ES"/>
        </w:rPr>
        <w:t>n.º</w:t>
      </w:r>
      <w:r w:rsidR="00B75F83">
        <w:rPr>
          <w:lang w:val="es-ES"/>
        </w:rPr>
        <w:t> </w:t>
      </w:r>
      <w:r w:rsidRPr="001437A5">
        <w:rPr>
          <w:lang w:val="es-ES"/>
        </w:rPr>
        <w:t>2698/2000 (DO L 311 de 12.12.2000, p. 1).</w:t>
      </w:r>
    </w:p>
  </w:footnote>
  <w:footnote w:id="25">
    <w:p w:rsidR="008A7EB9" w:rsidRPr="001437A5" w:rsidRDefault="008A7EB9" w:rsidP="00C1621D">
      <w:pPr>
        <w:pStyle w:val="FootnoteText"/>
        <w:ind w:left="284" w:hanging="284"/>
        <w:rPr>
          <w:lang w:val="es-ES"/>
        </w:rPr>
      </w:pPr>
      <w:r w:rsidRPr="001437A5">
        <w:rPr>
          <w:rStyle w:val="FootnoteReference"/>
          <w:lang w:val="es-ES"/>
        </w:rPr>
        <w:footnoteRef/>
      </w:r>
      <w:r w:rsidRPr="001437A5">
        <w:rPr>
          <w:lang w:val="es-ES"/>
        </w:rPr>
        <w:t xml:space="preserve"> </w:t>
      </w:r>
      <w:r w:rsidRPr="001437A5">
        <w:rPr>
          <w:lang w:val="es-ES"/>
        </w:rPr>
        <w:tab/>
        <w:t xml:space="preserve">DO L 181 </w:t>
      </w:r>
      <w:r w:rsidR="00EB56C3">
        <w:rPr>
          <w:lang w:val="es-ES"/>
        </w:rPr>
        <w:t xml:space="preserve">de </w:t>
      </w:r>
      <w:r w:rsidRPr="001437A5">
        <w:rPr>
          <w:lang w:val="es-ES"/>
        </w:rPr>
        <w:t>1.7.1992, p. 1.</w:t>
      </w:r>
    </w:p>
  </w:footnote>
  <w:footnote w:id="26">
    <w:p w:rsidR="008A7EB9" w:rsidRPr="001437A5" w:rsidRDefault="008A7EB9" w:rsidP="00C1621D">
      <w:pPr>
        <w:pStyle w:val="FootnoteText"/>
        <w:ind w:left="284" w:hanging="284"/>
        <w:rPr>
          <w:lang w:val="es-ES"/>
        </w:rPr>
      </w:pPr>
      <w:r w:rsidRPr="001437A5">
        <w:rPr>
          <w:rStyle w:val="FootnoteReference"/>
          <w:lang w:val="es-ES"/>
        </w:rPr>
        <w:footnoteRef/>
      </w:r>
      <w:r w:rsidRPr="001437A5">
        <w:rPr>
          <w:lang w:val="es-ES"/>
        </w:rPr>
        <w:t xml:space="preserve"> </w:t>
      </w:r>
      <w:r w:rsidRPr="001437A5">
        <w:rPr>
          <w:lang w:val="es-ES"/>
        </w:rPr>
        <w:tab/>
        <w:t>DO L 52</w:t>
      </w:r>
      <w:r w:rsidR="00EB56C3">
        <w:rPr>
          <w:lang w:val="es-ES"/>
        </w:rPr>
        <w:t xml:space="preserve"> de</w:t>
      </w:r>
      <w:r w:rsidRPr="001437A5">
        <w:rPr>
          <w:lang w:val="es-ES"/>
        </w:rPr>
        <w:t xml:space="preserve"> 27.2.1992, p. 1, modificado en último lugar por el Reglamento (CE) </w:t>
      </w:r>
      <w:r w:rsidR="002F7D00">
        <w:rPr>
          <w:lang w:val="es-ES"/>
        </w:rPr>
        <w:t>n.º</w:t>
      </w:r>
      <w:r w:rsidR="00B75F83">
        <w:rPr>
          <w:lang w:val="es-ES"/>
        </w:rPr>
        <w:t> </w:t>
      </w:r>
      <w:r w:rsidRPr="001437A5">
        <w:rPr>
          <w:lang w:val="es-ES"/>
        </w:rPr>
        <w:t>807/2003 (DO L 122 de 16.5.2003, p. 36).</w:t>
      </w:r>
    </w:p>
  </w:footnote>
  <w:footnote w:id="27">
    <w:p w:rsidR="008A7EB9" w:rsidRPr="001437A5" w:rsidRDefault="008A7EB9" w:rsidP="00C1621D">
      <w:pPr>
        <w:pStyle w:val="FootnoteText"/>
        <w:ind w:left="284" w:hanging="284"/>
        <w:jc w:val="both"/>
        <w:rPr>
          <w:lang w:val="es-ES"/>
        </w:rPr>
      </w:pPr>
      <w:r w:rsidRPr="001437A5">
        <w:rPr>
          <w:vertAlign w:val="superscript"/>
          <w:lang w:val="es-ES"/>
        </w:rPr>
        <w:footnoteRef/>
      </w:r>
      <w:r w:rsidRPr="001437A5">
        <w:rPr>
          <w:lang w:val="es-ES"/>
        </w:rPr>
        <w:tab/>
        <w:t xml:space="preserve">Acuerdo de Asociación de Cotonú de 23 de junio de 2000 (modificado por la aplicación provisional de la Decisión </w:t>
      </w:r>
      <w:r w:rsidR="002F7D00">
        <w:rPr>
          <w:lang w:val="es-ES"/>
        </w:rPr>
        <w:t>n.º</w:t>
      </w:r>
      <w:r w:rsidR="00B75F83">
        <w:rPr>
          <w:lang w:val="es-ES"/>
        </w:rPr>
        <w:t> </w:t>
      </w:r>
      <w:r w:rsidRPr="001437A5">
        <w:rPr>
          <w:lang w:val="es-ES"/>
        </w:rPr>
        <w:t xml:space="preserve">1/2000 del Consejo de Ministros ACP-CE de 27 de julio de 2000, la Decisión </w:t>
      </w:r>
      <w:r w:rsidR="002F7D00">
        <w:rPr>
          <w:lang w:val="es-ES"/>
        </w:rPr>
        <w:t>n.º</w:t>
      </w:r>
      <w:r w:rsidR="00B75F83">
        <w:rPr>
          <w:lang w:val="es-ES"/>
        </w:rPr>
        <w:t> </w:t>
      </w:r>
      <w:r w:rsidRPr="001437A5">
        <w:rPr>
          <w:lang w:val="es-ES"/>
        </w:rPr>
        <w:t xml:space="preserve">1/2000 del Comité de Cooperación Aduanera ACP-CE de 18 de octubre de 2000, la Decisión </w:t>
      </w:r>
      <w:r w:rsidR="002F7D00">
        <w:rPr>
          <w:lang w:val="es-ES"/>
        </w:rPr>
        <w:t>n.º</w:t>
      </w:r>
      <w:r w:rsidR="00B75F83">
        <w:rPr>
          <w:lang w:val="es-ES"/>
        </w:rPr>
        <w:t> </w:t>
      </w:r>
      <w:r w:rsidRPr="001437A5">
        <w:rPr>
          <w:lang w:val="es-ES"/>
        </w:rPr>
        <w:t xml:space="preserve">1/2001 del Comité de Cooperación Aduanera ACP-CE de 20 de abril de 2001, la Decisión </w:t>
      </w:r>
      <w:r w:rsidR="002F7D00">
        <w:rPr>
          <w:lang w:val="es-ES"/>
        </w:rPr>
        <w:t>n.º</w:t>
      </w:r>
      <w:r w:rsidR="00B75F83">
        <w:rPr>
          <w:lang w:val="es-ES"/>
        </w:rPr>
        <w:t> </w:t>
      </w:r>
      <w:r w:rsidRPr="001437A5">
        <w:rPr>
          <w:lang w:val="es-ES"/>
        </w:rPr>
        <w:t xml:space="preserve">2/2001 del Comité de Cooperación Aduanera ACP-CE de 20 de abril de 2001, la Decisión </w:t>
      </w:r>
      <w:r w:rsidR="002F7D00">
        <w:rPr>
          <w:lang w:val="es-ES"/>
        </w:rPr>
        <w:t>n.º</w:t>
      </w:r>
      <w:r w:rsidR="00B75F83">
        <w:rPr>
          <w:lang w:val="es-ES"/>
        </w:rPr>
        <w:t> </w:t>
      </w:r>
      <w:r w:rsidRPr="001437A5">
        <w:rPr>
          <w:lang w:val="es-ES"/>
        </w:rPr>
        <w:t xml:space="preserve">3/2001 del Comité de Cooperación Aduanera ACP-CE de 10 de mayo de 2001, la Decisión </w:t>
      </w:r>
      <w:r w:rsidR="002F7D00">
        <w:rPr>
          <w:lang w:val="es-ES"/>
        </w:rPr>
        <w:t>n.º</w:t>
      </w:r>
      <w:r w:rsidR="00B75F83">
        <w:rPr>
          <w:lang w:val="es-ES"/>
        </w:rPr>
        <w:t> </w:t>
      </w:r>
      <w:r w:rsidRPr="001437A5">
        <w:rPr>
          <w:lang w:val="es-ES"/>
        </w:rPr>
        <w:t xml:space="preserve">4/2001 del Comité de Cooperación Aduanera ACP-CE de 27 de junio de 2001, la Decisión </w:t>
      </w:r>
      <w:r w:rsidR="002F7D00">
        <w:rPr>
          <w:lang w:val="es-ES"/>
        </w:rPr>
        <w:t>n.º</w:t>
      </w:r>
      <w:r w:rsidR="00B75F83">
        <w:rPr>
          <w:lang w:val="es-ES"/>
        </w:rPr>
        <w:t> </w:t>
      </w:r>
      <w:r w:rsidRPr="001437A5">
        <w:rPr>
          <w:lang w:val="es-ES"/>
        </w:rPr>
        <w:t xml:space="preserve">5/2001 del Comité de Cooperación Aduanera ACP-CE de7 de diciembre de 2001, la </w:t>
      </w:r>
      <w:bookmarkStart w:id="0" w:name="0"/>
      <w:r w:rsidRPr="001437A5">
        <w:rPr>
          <w:lang w:val="es-ES"/>
        </w:rPr>
        <w:t xml:space="preserve">Decisión </w:t>
      </w:r>
      <w:r w:rsidR="002F7D00">
        <w:rPr>
          <w:lang w:val="es-ES"/>
        </w:rPr>
        <w:t>n.º</w:t>
      </w:r>
      <w:r w:rsidR="00B75F83">
        <w:rPr>
          <w:lang w:val="es-ES"/>
        </w:rPr>
        <w:t> </w:t>
      </w:r>
      <w:r w:rsidRPr="001437A5">
        <w:rPr>
          <w:lang w:val="es-ES"/>
        </w:rPr>
        <w:t>2/2002 del Comité de Cooperación Aduanera ACP-CE de 28 de octubre de 2002</w:t>
      </w:r>
      <w:bookmarkEnd w:id="0"/>
      <w:r w:rsidRPr="001437A5">
        <w:rPr>
          <w:lang w:val="es-ES"/>
        </w:rPr>
        <w:t>,</w:t>
      </w:r>
      <w:r w:rsidRPr="001437A5">
        <w:rPr>
          <w:rFonts w:ascii="Verdana" w:hAnsi="Verdana"/>
          <w:lang w:val="es-ES"/>
        </w:rPr>
        <w:t xml:space="preserve"> </w:t>
      </w:r>
      <w:r w:rsidRPr="001437A5">
        <w:rPr>
          <w:lang w:val="es-ES"/>
        </w:rPr>
        <w:t>la</w:t>
      </w:r>
      <w:r w:rsidRPr="001437A5">
        <w:rPr>
          <w:rFonts w:ascii="Verdana" w:hAnsi="Verdana"/>
          <w:lang w:val="es-ES"/>
        </w:rPr>
        <w:t xml:space="preserve"> </w:t>
      </w:r>
      <w:r w:rsidRPr="001437A5">
        <w:rPr>
          <w:lang w:val="es-ES"/>
        </w:rPr>
        <w:t xml:space="preserve">Decisión </w:t>
      </w:r>
      <w:r w:rsidR="002F7D00">
        <w:rPr>
          <w:lang w:val="es-ES"/>
        </w:rPr>
        <w:t>n.º</w:t>
      </w:r>
      <w:r w:rsidR="00B75F83">
        <w:rPr>
          <w:lang w:val="es-ES"/>
        </w:rPr>
        <w:t> </w:t>
      </w:r>
      <w:r w:rsidRPr="001437A5">
        <w:rPr>
          <w:lang w:val="es-ES"/>
        </w:rPr>
        <w:t xml:space="preserve">1/2003 del Consejo de Ministros ACP-CE de16 de mayo de 2003, la Decisión (CE) del Consejo de19 de diciembre de 2002, la Decisión </w:t>
      </w:r>
      <w:r w:rsidR="002F7D00">
        <w:rPr>
          <w:lang w:val="es-ES"/>
        </w:rPr>
        <w:t>n.º</w:t>
      </w:r>
      <w:r w:rsidR="00B75F83">
        <w:rPr>
          <w:lang w:val="es-ES"/>
        </w:rPr>
        <w:t> </w:t>
      </w:r>
      <w:r w:rsidRPr="001437A5">
        <w:rPr>
          <w:lang w:val="es-ES"/>
        </w:rPr>
        <w:t xml:space="preserve">1/2004 del Consejo de Ministros ACP-CE de 6 de mayo de 2004, la Decisión </w:t>
      </w:r>
      <w:r w:rsidR="002F7D00">
        <w:rPr>
          <w:lang w:val="es-ES"/>
        </w:rPr>
        <w:t>n.º</w:t>
      </w:r>
      <w:r w:rsidR="00B75F83">
        <w:rPr>
          <w:lang w:val="es-ES"/>
        </w:rPr>
        <w:t> </w:t>
      </w:r>
      <w:r w:rsidRPr="001437A5">
        <w:rPr>
          <w:lang w:val="es-ES"/>
        </w:rPr>
        <w:t xml:space="preserve">2/2004 del Comité de Cooperación Aduanera ACP-CE de30 de junio de 2004 y la Decisión </w:t>
      </w:r>
      <w:r w:rsidR="002F7D00">
        <w:rPr>
          <w:lang w:val="es-ES"/>
        </w:rPr>
        <w:t>n.º</w:t>
      </w:r>
      <w:r w:rsidR="00B75F83">
        <w:rPr>
          <w:lang w:val="es-ES"/>
        </w:rPr>
        <w:t> </w:t>
      </w:r>
      <w:r w:rsidRPr="001437A5">
        <w:rPr>
          <w:lang w:val="es-ES"/>
        </w:rPr>
        <w:t xml:space="preserve">4/2005 del Comité de Cooperación Aduanera ACP-CE de13 de abril de 2005). </w:t>
      </w:r>
    </w:p>
  </w:footnote>
  <w:footnote w:id="28">
    <w:p w:rsidR="002F7D00" w:rsidRPr="001437A5" w:rsidRDefault="002F7D00" w:rsidP="002F7D00">
      <w:pPr>
        <w:pStyle w:val="FootnoteText"/>
        <w:ind w:left="284" w:hanging="284"/>
        <w:jc w:val="both"/>
        <w:rPr>
          <w:lang w:val="es-ES"/>
        </w:rPr>
      </w:pPr>
      <w:r w:rsidRPr="001437A5">
        <w:rPr>
          <w:vertAlign w:val="superscript"/>
          <w:lang w:val="es-ES"/>
        </w:rPr>
        <w:footnoteRef/>
      </w:r>
      <w:r w:rsidRPr="001437A5">
        <w:rPr>
          <w:lang w:val="es-ES"/>
        </w:rPr>
        <w:tab/>
        <w:t xml:space="preserve">Las personas físicas y jurídicas sudafricanas pueden </w:t>
      </w:r>
      <w:r>
        <w:rPr>
          <w:lang w:val="es-ES"/>
        </w:rPr>
        <w:t>participar en</w:t>
      </w:r>
      <w:r w:rsidRPr="001437A5">
        <w:rPr>
          <w:lang w:val="es-ES"/>
        </w:rPr>
        <w:t xml:space="preserve"> contratos financiados por el 10</w:t>
      </w:r>
      <w:r w:rsidR="00EF09F9">
        <w:rPr>
          <w:lang w:val="es-ES"/>
        </w:rPr>
        <w:t>.</w:t>
      </w:r>
      <w:r>
        <w:rPr>
          <w:lang w:val="es-ES"/>
        </w:rPr>
        <w:t>º </w:t>
      </w:r>
      <w:r w:rsidRPr="001437A5">
        <w:rPr>
          <w:lang w:val="es-ES"/>
        </w:rPr>
        <w:t>FED, sin embargo, el 10</w:t>
      </w:r>
      <w:r w:rsidR="00EF09F9">
        <w:rPr>
          <w:lang w:val="es-ES"/>
        </w:rPr>
        <w:t>.</w:t>
      </w:r>
      <w:r>
        <w:rPr>
          <w:lang w:val="es-ES"/>
        </w:rPr>
        <w:t>º </w:t>
      </w:r>
      <w:r w:rsidRPr="001437A5">
        <w:rPr>
          <w:lang w:val="es-ES"/>
        </w:rPr>
        <w:t xml:space="preserve">FED no financia contratos en Sudáfrica. </w:t>
      </w:r>
    </w:p>
  </w:footnote>
  <w:footnote w:id="29">
    <w:p w:rsidR="008A7EB9" w:rsidRPr="001437A5" w:rsidRDefault="008A7EB9" w:rsidP="00776F45">
      <w:pPr>
        <w:pStyle w:val="FootnoteText"/>
        <w:tabs>
          <w:tab w:val="left" w:pos="284"/>
        </w:tabs>
        <w:ind w:left="284" w:hanging="284"/>
        <w:rPr>
          <w:lang w:val="es-ES"/>
        </w:rPr>
      </w:pPr>
      <w:r w:rsidRPr="001437A5">
        <w:rPr>
          <w:rStyle w:val="FootnoteReference"/>
          <w:lang w:val="es-ES"/>
        </w:rPr>
        <w:footnoteRef/>
      </w:r>
      <w:r w:rsidRPr="001437A5">
        <w:rPr>
          <w:lang w:val="es-ES"/>
        </w:rPr>
        <w:t xml:space="preserve"> </w:t>
      </w:r>
      <w:r w:rsidRPr="001437A5">
        <w:rPr>
          <w:lang w:val="es-ES"/>
        </w:rPr>
        <w:tab/>
        <w:t>El término «Estados miembros de la Unión Europea» se refiere a los 27 Estados miembros.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9D3" w:rsidRDefault="00DD69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7EB9" w:rsidRPr="00653F8A" w:rsidRDefault="008A7EB9" w:rsidP="00653F8A">
    <w:pPr>
      <w:tabs>
        <w:tab w:val="right" w:pos="9214"/>
      </w:tabs>
      <w:rPr>
        <w:lang w:val="fr-BE"/>
      </w:rPr>
    </w:pPr>
    <w:r>
      <w:rPr>
        <w:lang w:val="fr-BE"/>
      </w:rPr>
      <w:tab/>
    </w:r>
    <w:r w:rsidR="00DD69D3">
      <w:rPr>
        <w:rFonts w:ascii="Arial" w:hAnsi="Arial" w:cs="Arial"/>
        <w:sz w:val="20"/>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47.2pt;height:17.3pt">
          <v:imagedata r:id="rId1" o:title=""/>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7EB9" w:rsidRPr="0080353B" w:rsidRDefault="008A7EB9" w:rsidP="0080353B">
    <w:pPr>
      <w:pStyle w:val="Annexetitle"/>
      <w:pBdr>
        <w:top w:val="none" w:sz="0" w:space="0" w:color="auto"/>
        <w:left w:val="none" w:sz="0" w:space="0" w:color="auto"/>
        <w:bottom w:val="none" w:sz="0" w:space="0" w:color="auto"/>
        <w:right w:val="none" w:sz="0" w:space="0" w:color="auto"/>
      </w:pBdr>
      <w:jc w:val="left"/>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15:restartNumberingAfterBreak="0">
    <w:nsid w:val="096F1BD9"/>
    <w:multiLevelType w:val="singleLevel"/>
    <w:tmpl w:val="325686BE"/>
    <w:lvl w:ilvl="0">
      <w:start w:val="1"/>
      <w:numFmt w:val="bullet"/>
      <w:lvlRestart w:val="0"/>
      <w:pStyle w:val="Tiret1"/>
      <w:lvlText w:val="–"/>
      <w:lvlJc w:val="left"/>
      <w:pPr>
        <w:tabs>
          <w:tab w:val="num" w:pos="1417"/>
        </w:tabs>
        <w:ind w:left="1417" w:hanging="567"/>
      </w:pPr>
    </w:lvl>
  </w:abstractNum>
  <w:abstractNum w:abstractNumId="1" w15:restartNumberingAfterBreak="0">
    <w:nsid w:val="09D606B5"/>
    <w:multiLevelType w:val="multilevel"/>
    <w:tmpl w:val="9AECCB04"/>
    <w:lvl w:ilvl="0">
      <w:start w:val="1"/>
      <w:numFmt w:val="decimal"/>
      <w:lvlText w:val="%1."/>
      <w:lvlJc w:val="left"/>
      <w:pPr>
        <w:tabs>
          <w:tab w:val="num" w:pos="1429"/>
        </w:tabs>
        <w:ind w:left="1429"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04E34AF"/>
    <w:multiLevelType w:val="hybridMultilevel"/>
    <w:tmpl w:val="1F9E7A74"/>
    <w:lvl w:ilvl="0" w:tplc="B9CE91DC">
      <w:start w:val="1"/>
      <w:numFmt w:val="bullet"/>
      <w:lvlText w:val=""/>
      <w:lvlJc w:val="left"/>
      <w:pPr>
        <w:tabs>
          <w:tab w:val="num" w:pos="720"/>
        </w:tabs>
        <w:ind w:left="720" w:hanging="360"/>
      </w:pPr>
      <w:rPr>
        <w:rFonts w:ascii="Wingdings" w:hAnsi="Wingdings"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BB6750"/>
    <w:multiLevelType w:val="multilevel"/>
    <w:tmpl w:val="48AAFC84"/>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4" w15:restartNumberingAfterBreak="0">
    <w:nsid w:val="21B01123"/>
    <w:multiLevelType w:val="hybridMultilevel"/>
    <w:tmpl w:val="490CE9BA"/>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EB5E4D"/>
    <w:multiLevelType w:val="hybridMultilevel"/>
    <w:tmpl w:val="4C98F27A"/>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6E32E6"/>
    <w:multiLevelType w:val="multilevel"/>
    <w:tmpl w:val="584E2032"/>
    <w:lvl w:ilvl="0">
      <w:start w:val="1"/>
      <w:numFmt w:val="decimal"/>
      <w:lvlText w:val="%1.a"/>
      <w:lvlJc w:val="left"/>
      <w:pPr>
        <w:tabs>
          <w:tab w:val="num" w:pos="502"/>
        </w:tabs>
        <w:ind w:left="502" w:hanging="360"/>
      </w:pPr>
      <w:rPr>
        <w:rFonts w:hint="default"/>
      </w:rPr>
    </w:lvl>
    <w:lvl w:ilvl="1">
      <w:start w:val="1"/>
      <w:numFmt w:val="lowerLetter"/>
      <w:lvlText w:val="%1.%2."/>
      <w:lvlJc w:val="left"/>
      <w:pPr>
        <w:tabs>
          <w:tab w:val="num" w:pos="934"/>
        </w:tabs>
        <w:ind w:left="934" w:hanging="432"/>
      </w:pPr>
      <w:rPr>
        <w:rFonts w:hint="default"/>
      </w:rPr>
    </w:lvl>
    <w:lvl w:ilvl="2">
      <w:start w:val="1"/>
      <w:numFmt w:val="decimal"/>
      <w:lvlText w:val="%1.%2.%3."/>
      <w:lvlJc w:val="left"/>
      <w:pPr>
        <w:tabs>
          <w:tab w:val="num" w:pos="1582"/>
        </w:tabs>
        <w:ind w:left="1366" w:hanging="504"/>
      </w:pPr>
      <w:rPr>
        <w:rFonts w:hint="default"/>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7" w15:restartNumberingAfterBreak="0">
    <w:nsid w:val="295F6858"/>
    <w:multiLevelType w:val="singleLevel"/>
    <w:tmpl w:val="5FC8DE82"/>
    <w:name w:val="List Bullet 1"/>
    <w:lvl w:ilvl="0">
      <w:start w:val="1"/>
      <w:numFmt w:val="bullet"/>
      <w:lvlRestart w:val="0"/>
      <w:pStyle w:val="Tiret4"/>
      <w:lvlText w:val="–"/>
      <w:lvlJc w:val="left"/>
      <w:pPr>
        <w:tabs>
          <w:tab w:val="num" w:pos="3118"/>
        </w:tabs>
        <w:ind w:left="3118" w:hanging="567"/>
      </w:pPr>
    </w:lvl>
  </w:abstractNum>
  <w:abstractNum w:abstractNumId="8" w15:restartNumberingAfterBreak="0">
    <w:nsid w:val="2F1506FC"/>
    <w:multiLevelType w:val="multilevel"/>
    <w:tmpl w:val="A6CC64D0"/>
    <w:lvl w:ilvl="0">
      <w:start w:val="2"/>
      <w:numFmt w:val="decimal"/>
      <w:lvlText w:val="%1."/>
      <w:lvlJc w:val="left"/>
      <w:pPr>
        <w:tabs>
          <w:tab w:val="num" w:pos="2138"/>
        </w:tabs>
        <w:ind w:left="2138" w:hanging="360"/>
      </w:pPr>
      <w:rPr>
        <w:rFonts w:hint="default"/>
      </w:rPr>
    </w:lvl>
    <w:lvl w:ilvl="1">
      <w:start w:val="1"/>
      <w:numFmt w:val="bullet"/>
      <w:lvlText w:val=""/>
      <w:lvlJc w:val="left"/>
      <w:pPr>
        <w:tabs>
          <w:tab w:val="num" w:pos="1440"/>
        </w:tabs>
        <w:ind w:left="1440" w:hanging="360"/>
      </w:pPr>
      <w:rPr>
        <w:rFonts w:ascii="Symbol" w:hAnsi="Symbol" w:hint="default"/>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33CB24D6"/>
    <w:multiLevelType w:val="multilevel"/>
    <w:tmpl w:val="DA0A304E"/>
    <w:lvl w:ilvl="0">
      <w:start w:val="1"/>
      <w:numFmt w:val="decimal"/>
      <w:lvlText w:val="%1."/>
      <w:lvlJc w:val="left"/>
      <w:pPr>
        <w:tabs>
          <w:tab w:val="num" w:pos="360"/>
        </w:tabs>
        <w:ind w:left="360" w:hanging="360"/>
      </w:pPr>
      <w:rPr>
        <w:rFonts w:hint="default"/>
      </w:rPr>
    </w:lvl>
    <w:lvl w:ilvl="1">
      <w:start w:val="1"/>
      <w:numFmt w:val="lowerLetter"/>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8752886"/>
    <w:multiLevelType w:val="hybridMultilevel"/>
    <w:tmpl w:val="48AAFC84"/>
    <w:lvl w:ilvl="0" w:tplc="0809000F">
      <w:start w:val="1"/>
      <w:numFmt w:val="decimal"/>
      <w:lvlText w:val="%1."/>
      <w:lvlJc w:val="left"/>
      <w:pPr>
        <w:tabs>
          <w:tab w:val="num" w:pos="1429"/>
        </w:tabs>
        <w:ind w:left="1429" w:hanging="360"/>
      </w:pPr>
    </w:lvl>
    <w:lvl w:ilvl="1" w:tplc="08090017">
      <w:start w:val="1"/>
      <w:numFmt w:val="lowerLetter"/>
      <w:lvlText w:val="%2)"/>
      <w:lvlJc w:val="left"/>
      <w:pPr>
        <w:tabs>
          <w:tab w:val="num" w:pos="2149"/>
        </w:tabs>
        <w:ind w:left="2149" w:hanging="360"/>
      </w:pPr>
    </w:lvl>
    <w:lvl w:ilvl="2" w:tplc="0809001B" w:tentative="1">
      <w:start w:val="1"/>
      <w:numFmt w:val="lowerRoman"/>
      <w:lvlText w:val="%3."/>
      <w:lvlJc w:val="right"/>
      <w:pPr>
        <w:tabs>
          <w:tab w:val="num" w:pos="2869"/>
        </w:tabs>
        <w:ind w:left="2869" w:hanging="180"/>
      </w:pPr>
    </w:lvl>
    <w:lvl w:ilvl="3" w:tplc="0809000F" w:tentative="1">
      <w:start w:val="1"/>
      <w:numFmt w:val="decimal"/>
      <w:lvlText w:val="%4."/>
      <w:lvlJc w:val="left"/>
      <w:pPr>
        <w:tabs>
          <w:tab w:val="num" w:pos="3589"/>
        </w:tabs>
        <w:ind w:left="3589" w:hanging="360"/>
      </w:pPr>
    </w:lvl>
    <w:lvl w:ilvl="4" w:tplc="08090019" w:tentative="1">
      <w:start w:val="1"/>
      <w:numFmt w:val="lowerLetter"/>
      <w:lvlText w:val="%5."/>
      <w:lvlJc w:val="left"/>
      <w:pPr>
        <w:tabs>
          <w:tab w:val="num" w:pos="4309"/>
        </w:tabs>
        <w:ind w:left="4309" w:hanging="360"/>
      </w:pPr>
    </w:lvl>
    <w:lvl w:ilvl="5" w:tplc="0809001B" w:tentative="1">
      <w:start w:val="1"/>
      <w:numFmt w:val="lowerRoman"/>
      <w:lvlText w:val="%6."/>
      <w:lvlJc w:val="right"/>
      <w:pPr>
        <w:tabs>
          <w:tab w:val="num" w:pos="5029"/>
        </w:tabs>
        <w:ind w:left="5029" w:hanging="180"/>
      </w:pPr>
    </w:lvl>
    <w:lvl w:ilvl="6" w:tplc="0809000F" w:tentative="1">
      <w:start w:val="1"/>
      <w:numFmt w:val="decimal"/>
      <w:lvlText w:val="%7."/>
      <w:lvlJc w:val="left"/>
      <w:pPr>
        <w:tabs>
          <w:tab w:val="num" w:pos="5749"/>
        </w:tabs>
        <w:ind w:left="5749" w:hanging="360"/>
      </w:pPr>
    </w:lvl>
    <w:lvl w:ilvl="7" w:tplc="08090019" w:tentative="1">
      <w:start w:val="1"/>
      <w:numFmt w:val="lowerLetter"/>
      <w:lvlText w:val="%8."/>
      <w:lvlJc w:val="left"/>
      <w:pPr>
        <w:tabs>
          <w:tab w:val="num" w:pos="6469"/>
        </w:tabs>
        <w:ind w:left="6469" w:hanging="360"/>
      </w:pPr>
    </w:lvl>
    <w:lvl w:ilvl="8" w:tplc="0809001B" w:tentative="1">
      <w:start w:val="1"/>
      <w:numFmt w:val="lowerRoman"/>
      <w:lvlText w:val="%9."/>
      <w:lvlJc w:val="right"/>
      <w:pPr>
        <w:tabs>
          <w:tab w:val="num" w:pos="7189"/>
        </w:tabs>
        <w:ind w:left="7189" w:hanging="180"/>
      </w:pPr>
    </w:lvl>
  </w:abstractNum>
  <w:abstractNum w:abstractNumId="11" w15:restartNumberingAfterBreak="0">
    <w:nsid w:val="4147747E"/>
    <w:multiLevelType w:val="hybridMultilevel"/>
    <w:tmpl w:val="67549B28"/>
    <w:lvl w:ilvl="0" w:tplc="7656380C">
      <w:start w:val="1"/>
      <w:numFmt w:val="decimal"/>
      <w:lvlText w:val="%1."/>
      <w:lvlJc w:val="left"/>
      <w:pPr>
        <w:tabs>
          <w:tab w:val="num" w:pos="2858"/>
        </w:tabs>
        <w:ind w:left="2858" w:hanging="360"/>
      </w:pPr>
      <w:rPr>
        <w:rFonts w:hint="default"/>
      </w:rPr>
    </w:lvl>
    <w:lvl w:ilvl="1" w:tplc="7656380C">
      <w:start w:val="1"/>
      <w:numFmt w:val="decimal"/>
      <w:lvlText w:val="%2."/>
      <w:lvlJc w:val="left"/>
      <w:pPr>
        <w:tabs>
          <w:tab w:val="num" w:pos="1440"/>
        </w:tabs>
        <w:ind w:left="1440" w:hanging="360"/>
      </w:pPr>
      <w:rPr>
        <w:rFonts w:hint="default"/>
      </w:rPr>
    </w:lvl>
    <w:lvl w:ilvl="2" w:tplc="067C1EDC">
      <w:start w:val="1"/>
      <w:numFmt w:val="lowerLetter"/>
      <w:lvlText w:val="%3)"/>
      <w:lvlJc w:val="left"/>
      <w:pPr>
        <w:tabs>
          <w:tab w:val="num" w:pos="2204"/>
        </w:tabs>
        <w:ind w:left="2204"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513F1F8B"/>
    <w:multiLevelType w:val="multilevel"/>
    <w:tmpl w:val="1F0C6386"/>
    <w:lvl w:ilvl="0">
      <w:start w:val="1"/>
      <w:numFmt w:val="decimal"/>
      <w:lvlText w:val="%1."/>
      <w:lvlJc w:val="left"/>
      <w:pPr>
        <w:tabs>
          <w:tab w:val="num" w:pos="1429"/>
        </w:tabs>
        <w:ind w:left="1429"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4" w15:restartNumberingAfterBreak="0">
    <w:nsid w:val="63E211D8"/>
    <w:multiLevelType w:val="hybridMultilevel"/>
    <w:tmpl w:val="5F6E600C"/>
    <w:lvl w:ilvl="0" w:tplc="4B5A4BFE">
      <w:start w:val="2"/>
      <w:numFmt w:val="decimal"/>
      <w:lvlText w:val="%1."/>
      <w:lvlJc w:val="left"/>
      <w:pPr>
        <w:tabs>
          <w:tab w:val="num" w:pos="2138"/>
        </w:tabs>
        <w:ind w:left="2138" w:hanging="360"/>
      </w:pPr>
      <w:rPr>
        <w:rFonts w:hint="default"/>
      </w:rPr>
    </w:lvl>
    <w:lvl w:ilvl="1" w:tplc="091CBFEC">
      <w:start w:val="3"/>
      <w:numFmt w:val="decimal"/>
      <w:lvlText w:val="%2."/>
      <w:lvlJc w:val="left"/>
      <w:pPr>
        <w:tabs>
          <w:tab w:val="num" w:pos="2138"/>
        </w:tabs>
        <w:ind w:left="2138"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A772D4B"/>
    <w:multiLevelType w:val="multilevel"/>
    <w:tmpl w:val="B0902A98"/>
    <w:lvl w:ilvl="0">
      <w:start w:val="1"/>
      <w:numFmt w:val="decimal"/>
      <w:lvlText w:val="%1."/>
      <w:lvlJc w:val="left"/>
      <w:pPr>
        <w:tabs>
          <w:tab w:val="num" w:pos="2858"/>
        </w:tabs>
        <w:ind w:left="2858"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A9A5AA6"/>
    <w:multiLevelType w:val="multilevel"/>
    <w:tmpl w:val="C652CE68"/>
    <w:lvl w:ilvl="0">
      <w:start w:val="1"/>
      <w:numFmt w:val="decimal"/>
      <w:lvlText w:val="%1."/>
      <w:lvlJc w:val="left"/>
      <w:pPr>
        <w:tabs>
          <w:tab w:val="num" w:pos="2858"/>
        </w:tabs>
        <w:ind w:left="2858"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73FA7FEC"/>
    <w:multiLevelType w:val="hybridMultilevel"/>
    <w:tmpl w:val="4D3E94A4"/>
    <w:lvl w:ilvl="0" w:tplc="0686A9DC">
      <w:start w:val="1"/>
      <w:numFmt w:val="bullet"/>
      <w:lvlText w:val="–"/>
      <w:lvlJc w:val="left"/>
      <w:pPr>
        <w:tabs>
          <w:tab w:val="num" w:pos="720"/>
        </w:tabs>
        <w:ind w:left="720" w:hanging="360"/>
      </w:pPr>
      <w:rPr>
        <w:rFonts w:ascii="Lucida Console" w:hAnsi="Lucida Console"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83260EB"/>
    <w:multiLevelType w:val="multilevel"/>
    <w:tmpl w:val="BECC3D76"/>
    <w:lvl w:ilvl="0">
      <w:start w:val="2"/>
      <w:numFmt w:val="decimal"/>
      <w:lvlText w:val="%1."/>
      <w:lvlJc w:val="left"/>
      <w:pPr>
        <w:tabs>
          <w:tab w:val="num" w:pos="2138"/>
        </w:tabs>
        <w:ind w:left="2138" w:hanging="360"/>
      </w:pPr>
      <w:rPr>
        <w:rFonts w:hint="default"/>
      </w:rPr>
    </w:lvl>
    <w:lvl w:ilvl="1">
      <w:start w:val="1"/>
      <w:numFmt w:val="bullet"/>
      <w:lvlText w:val=""/>
      <w:lvlJc w:val="left"/>
      <w:pPr>
        <w:tabs>
          <w:tab w:val="num" w:pos="1440"/>
        </w:tabs>
        <w:ind w:left="1440" w:hanging="360"/>
      </w:pPr>
      <w:rPr>
        <w:rFonts w:ascii="Symbol" w:hAnsi="Symbol" w:hint="default"/>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3"/>
  </w:num>
  <w:num w:numId="2">
    <w:abstractNumId w:val="2"/>
  </w:num>
  <w:num w:numId="3">
    <w:abstractNumId w:val="0"/>
  </w:num>
  <w:num w:numId="4">
    <w:abstractNumId w:val="7"/>
  </w:num>
  <w:num w:numId="5">
    <w:abstractNumId w:val="5"/>
  </w:num>
  <w:num w:numId="6">
    <w:abstractNumId w:val="4"/>
  </w:num>
  <w:num w:numId="7">
    <w:abstractNumId w:val="17"/>
  </w:num>
  <w:num w:numId="8">
    <w:abstractNumId w:val="10"/>
  </w:num>
  <w:num w:numId="9">
    <w:abstractNumId w:val="3"/>
  </w:num>
  <w:num w:numId="10">
    <w:abstractNumId w:val="6"/>
  </w:num>
  <w:num w:numId="11">
    <w:abstractNumId w:val="1"/>
  </w:num>
  <w:num w:numId="12">
    <w:abstractNumId w:val="12"/>
  </w:num>
  <w:num w:numId="13">
    <w:abstractNumId w:val="9"/>
  </w:num>
  <w:num w:numId="14">
    <w:abstractNumId w:val="14"/>
  </w:num>
  <w:num w:numId="15">
    <w:abstractNumId w:val="18"/>
  </w:num>
  <w:num w:numId="16">
    <w:abstractNumId w:val="8"/>
  </w:num>
  <w:num w:numId="17">
    <w:abstractNumId w:val="11"/>
  </w:num>
  <w:num w:numId="18">
    <w:abstractNumId w:val="15"/>
  </w:num>
  <w:num w:numId="19">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n-US" w:vendorID="8" w:dllVersion="513" w:checkStyle="1"/>
  <w:activeWritingStyle w:appName="MSWord" w:lang="fr-FR" w:vendorID="9" w:dllVersion="512" w:checkStyle="1"/>
  <w:activeWritingStyle w:appName="MSWord" w:lang="en-GB" w:vendorID="8" w:dllVersion="513" w:checkStyle="1"/>
  <w:activeWritingStyle w:appName="MSWord" w:lang="fi-FI" w:vendorID="666" w:dllVersion="513" w:checkStyle="1"/>
  <w:activeWritingStyle w:appName="MSWord" w:lang="pl-PL" w:vendorID="12" w:dllVersion="512" w:checkStyle="1"/>
  <w:activeWritingStyle w:appName="MSWord" w:lang="sv-SE" w:vendorID="666" w:dllVersion="513" w:checkStyle="1"/>
  <w:activeWritingStyle w:appName="MSWord" w:lang="pt-PT" w:vendorID="13"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CA00ED"/>
    <w:rsid w:val="000049C8"/>
    <w:rsid w:val="000235E9"/>
    <w:rsid w:val="0003088C"/>
    <w:rsid w:val="00033090"/>
    <w:rsid w:val="000360C1"/>
    <w:rsid w:val="00036961"/>
    <w:rsid w:val="00045AAA"/>
    <w:rsid w:val="00046200"/>
    <w:rsid w:val="000474B8"/>
    <w:rsid w:val="00060E9B"/>
    <w:rsid w:val="00073BA8"/>
    <w:rsid w:val="0008459D"/>
    <w:rsid w:val="00093EFE"/>
    <w:rsid w:val="000959DB"/>
    <w:rsid w:val="000975B4"/>
    <w:rsid w:val="000A54DC"/>
    <w:rsid w:val="000A7195"/>
    <w:rsid w:val="000B6821"/>
    <w:rsid w:val="000D10AF"/>
    <w:rsid w:val="000D58AE"/>
    <w:rsid w:val="000D667C"/>
    <w:rsid w:val="000D7AAD"/>
    <w:rsid w:val="000E1A44"/>
    <w:rsid w:val="000F384E"/>
    <w:rsid w:val="000F5FCE"/>
    <w:rsid w:val="00104D0F"/>
    <w:rsid w:val="0011090D"/>
    <w:rsid w:val="0012042E"/>
    <w:rsid w:val="001224B3"/>
    <w:rsid w:val="001244FF"/>
    <w:rsid w:val="0012545F"/>
    <w:rsid w:val="00125B70"/>
    <w:rsid w:val="0013126E"/>
    <w:rsid w:val="001318BC"/>
    <w:rsid w:val="001411E7"/>
    <w:rsid w:val="001437A5"/>
    <w:rsid w:val="001624B7"/>
    <w:rsid w:val="00170474"/>
    <w:rsid w:val="00170571"/>
    <w:rsid w:val="00171C26"/>
    <w:rsid w:val="00175676"/>
    <w:rsid w:val="00181DAB"/>
    <w:rsid w:val="0018560E"/>
    <w:rsid w:val="00193BA5"/>
    <w:rsid w:val="0019610E"/>
    <w:rsid w:val="001B0D8B"/>
    <w:rsid w:val="001B263C"/>
    <w:rsid w:val="001B76CE"/>
    <w:rsid w:val="001C0BF7"/>
    <w:rsid w:val="001D10BE"/>
    <w:rsid w:val="001E3329"/>
    <w:rsid w:val="001E4CA2"/>
    <w:rsid w:val="00203750"/>
    <w:rsid w:val="00213D54"/>
    <w:rsid w:val="00213F8C"/>
    <w:rsid w:val="00217E24"/>
    <w:rsid w:val="00221539"/>
    <w:rsid w:val="00223AF4"/>
    <w:rsid w:val="002249D2"/>
    <w:rsid w:val="0023452E"/>
    <w:rsid w:val="00234C8E"/>
    <w:rsid w:val="0024736A"/>
    <w:rsid w:val="00253F22"/>
    <w:rsid w:val="00262450"/>
    <w:rsid w:val="00264FF7"/>
    <w:rsid w:val="002756FE"/>
    <w:rsid w:val="00294804"/>
    <w:rsid w:val="00297BA8"/>
    <w:rsid w:val="002A1C6F"/>
    <w:rsid w:val="002A4611"/>
    <w:rsid w:val="002B274D"/>
    <w:rsid w:val="002B5DAB"/>
    <w:rsid w:val="002C2195"/>
    <w:rsid w:val="002C65F5"/>
    <w:rsid w:val="002F66B8"/>
    <w:rsid w:val="002F7D00"/>
    <w:rsid w:val="00300BA1"/>
    <w:rsid w:val="00301863"/>
    <w:rsid w:val="00306BF8"/>
    <w:rsid w:val="0031151B"/>
    <w:rsid w:val="00316738"/>
    <w:rsid w:val="003241A0"/>
    <w:rsid w:val="00331ABB"/>
    <w:rsid w:val="00342111"/>
    <w:rsid w:val="00345A3E"/>
    <w:rsid w:val="003548A3"/>
    <w:rsid w:val="00354943"/>
    <w:rsid w:val="00365192"/>
    <w:rsid w:val="003735CB"/>
    <w:rsid w:val="00376B7E"/>
    <w:rsid w:val="00380459"/>
    <w:rsid w:val="003804FC"/>
    <w:rsid w:val="00383CF5"/>
    <w:rsid w:val="00386937"/>
    <w:rsid w:val="003C666D"/>
    <w:rsid w:val="003D1425"/>
    <w:rsid w:val="003D7A6A"/>
    <w:rsid w:val="003E614A"/>
    <w:rsid w:val="003E7520"/>
    <w:rsid w:val="003F5588"/>
    <w:rsid w:val="00410008"/>
    <w:rsid w:val="0041175F"/>
    <w:rsid w:val="00416320"/>
    <w:rsid w:val="0043363B"/>
    <w:rsid w:val="00447331"/>
    <w:rsid w:val="0045027C"/>
    <w:rsid w:val="00463427"/>
    <w:rsid w:val="00467B26"/>
    <w:rsid w:val="00472EDE"/>
    <w:rsid w:val="00475D6B"/>
    <w:rsid w:val="00481783"/>
    <w:rsid w:val="00495F90"/>
    <w:rsid w:val="004A4446"/>
    <w:rsid w:val="004B3D96"/>
    <w:rsid w:val="004C3C4F"/>
    <w:rsid w:val="004D3D55"/>
    <w:rsid w:val="004D6D09"/>
    <w:rsid w:val="004E7E57"/>
    <w:rsid w:val="00500F0C"/>
    <w:rsid w:val="00517B53"/>
    <w:rsid w:val="0052107F"/>
    <w:rsid w:val="00525474"/>
    <w:rsid w:val="00544CDC"/>
    <w:rsid w:val="0056619C"/>
    <w:rsid w:val="00597033"/>
    <w:rsid w:val="005A2B81"/>
    <w:rsid w:val="005A6B6D"/>
    <w:rsid w:val="005B1B0E"/>
    <w:rsid w:val="005B319E"/>
    <w:rsid w:val="005B656E"/>
    <w:rsid w:val="005C0991"/>
    <w:rsid w:val="005D25C0"/>
    <w:rsid w:val="005D2C3A"/>
    <w:rsid w:val="005D5490"/>
    <w:rsid w:val="005E4160"/>
    <w:rsid w:val="00601098"/>
    <w:rsid w:val="0060387F"/>
    <w:rsid w:val="00604FBA"/>
    <w:rsid w:val="00624D4C"/>
    <w:rsid w:val="00631A4D"/>
    <w:rsid w:val="00653F8A"/>
    <w:rsid w:val="00656053"/>
    <w:rsid w:val="00664372"/>
    <w:rsid w:val="006660C7"/>
    <w:rsid w:val="00677F74"/>
    <w:rsid w:val="00696372"/>
    <w:rsid w:val="00696C30"/>
    <w:rsid w:val="006A08F1"/>
    <w:rsid w:val="006B23B4"/>
    <w:rsid w:val="006B4DF0"/>
    <w:rsid w:val="006B5427"/>
    <w:rsid w:val="006B7DA1"/>
    <w:rsid w:val="006D3092"/>
    <w:rsid w:val="006D32F6"/>
    <w:rsid w:val="006D77E9"/>
    <w:rsid w:val="006E2617"/>
    <w:rsid w:val="006E4592"/>
    <w:rsid w:val="006F1C3C"/>
    <w:rsid w:val="00701207"/>
    <w:rsid w:val="0070240A"/>
    <w:rsid w:val="00703E19"/>
    <w:rsid w:val="00711F8E"/>
    <w:rsid w:val="00716545"/>
    <w:rsid w:val="0071654E"/>
    <w:rsid w:val="00721E02"/>
    <w:rsid w:val="0072389E"/>
    <w:rsid w:val="00731695"/>
    <w:rsid w:val="007368AC"/>
    <w:rsid w:val="00737F69"/>
    <w:rsid w:val="007443CF"/>
    <w:rsid w:val="00755201"/>
    <w:rsid w:val="00761578"/>
    <w:rsid w:val="00763A71"/>
    <w:rsid w:val="00766A36"/>
    <w:rsid w:val="00776F45"/>
    <w:rsid w:val="007957AC"/>
    <w:rsid w:val="007A02FA"/>
    <w:rsid w:val="007A49BE"/>
    <w:rsid w:val="007A518E"/>
    <w:rsid w:val="007A5964"/>
    <w:rsid w:val="007C33E0"/>
    <w:rsid w:val="007D4C7C"/>
    <w:rsid w:val="007D7744"/>
    <w:rsid w:val="007E4910"/>
    <w:rsid w:val="007F0680"/>
    <w:rsid w:val="007F426C"/>
    <w:rsid w:val="007F666C"/>
    <w:rsid w:val="0080353B"/>
    <w:rsid w:val="008044FA"/>
    <w:rsid w:val="00812CB8"/>
    <w:rsid w:val="0081602B"/>
    <w:rsid w:val="00830BA8"/>
    <w:rsid w:val="00837438"/>
    <w:rsid w:val="00850BE0"/>
    <w:rsid w:val="00852D9C"/>
    <w:rsid w:val="0085411F"/>
    <w:rsid w:val="008576B6"/>
    <w:rsid w:val="00860034"/>
    <w:rsid w:val="008771BD"/>
    <w:rsid w:val="0088093F"/>
    <w:rsid w:val="00880AFC"/>
    <w:rsid w:val="00881C41"/>
    <w:rsid w:val="00895456"/>
    <w:rsid w:val="008A4A1B"/>
    <w:rsid w:val="008A59FF"/>
    <w:rsid w:val="008A7EB9"/>
    <w:rsid w:val="008B14F4"/>
    <w:rsid w:val="008D4934"/>
    <w:rsid w:val="008E0A0C"/>
    <w:rsid w:val="008E328D"/>
    <w:rsid w:val="008F2E33"/>
    <w:rsid w:val="0091682E"/>
    <w:rsid w:val="00941BCA"/>
    <w:rsid w:val="00947151"/>
    <w:rsid w:val="009630DF"/>
    <w:rsid w:val="0096428D"/>
    <w:rsid w:val="009654D8"/>
    <w:rsid w:val="00976287"/>
    <w:rsid w:val="00977858"/>
    <w:rsid w:val="00987D47"/>
    <w:rsid w:val="009B472B"/>
    <w:rsid w:val="009C49B2"/>
    <w:rsid w:val="009D29D9"/>
    <w:rsid w:val="009E2775"/>
    <w:rsid w:val="00A0349C"/>
    <w:rsid w:val="00A06B26"/>
    <w:rsid w:val="00A10080"/>
    <w:rsid w:val="00A153B5"/>
    <w:rsid w:val="00A233B9"/>
    <w:rsid w:val="00A256C4"/>
    <w:rsid w:val="00A3312B"/>
    <w:rsid w:val="00A415BD"/>
    <w:rsid w:val="00A41845"/>
    <w:rsid w:val="00A606FA"/>
    <w:rsid w:val="00A61B52"/>
    <w:rsid w:val="00A61D36"/>
    <w:rsid w:val="00A646B5"/>
    <w:rsid w:val="00A744F3"/>
    <w:rsid w:val="00A75F5C"/>
    <w:rsid w:val="00A81646"/>
    <w:rsid w:val="00A90EEC"/>
    <w:rsid w:val="00A96BA3"/>
    <w:rsid w:val="00AA16A9"/>
    <w:rsid w:val="00AA42A2"/>
    <w:rsid w:val="00AA4C84"/>
    <w:rsid w:val="00AB34DC"/>
    <w:rsid w:val="00AD1FF5"/>
    <w:rsid w:val="00AE056D"/>
    <w:rsid w:val="00AE64A2"/>
    <w:rsid w:val="00B20247"/>
    <w:rsid w:val="00B3417D"/>
    <w:rsid w:val="00B35FFC"/>
    <w:rsid w:val="00B36B07"/>
    <w:rsid w:val="00B40E55"/>
    <w:rsid w:val="00B5767F"/>
    <w:rsid w:val="00B636C9"/>
    <w:rsid w:val="00B6463E"/>
    <w:rsid w:val="00B73026"/>
    <w:rsid w:val="00B74FC9"/>
    <w:rsid w:val="00B75F83"/>
    <w:rsid w:val="00B83AE8"/>
    <w:rsid w:val="00B83DB7"/>
    <w:rsid w:val="00B86E69"/>
    <w:rsid w:val="00BB3423"/>
    <w:rsid w:val="00BD2D17"/>
    <w:rsid w:val="00BE19B5"/>
    <w:rsid w:val="00BE5EE9"/>
    <w:rsid w:val="00BE6844"/>
    <w:rsid w:val="00BE6E94"/>
    <w:rsid w:val="00BF55B3"/>
    <w:rsid w:val="00C105B3"/>
    <w:rsid w:val="00C133DC"/>
    <w:rsid w:val="00C1621D"/>
    <w:rsid w:val="00C2046A"/>
    <w:rsid w:val="00C207ED"/>
    <w:rsid w:val="00C252FD"/>
    <w:rsid w:val="00C275E9"/>
    <w:rsid w:val="00C35864"/>
    <w:rsid w:val="00C47BC6"/>
    <w:rsid w:val="00C6793F"/>
    <w:rsid w:val="00C67BC8"/>
    <w:rsid w:val="00C850B9"/>
    <w:rsid w:val="00C9268F"/>
    <w:rsid w:val="00CA00ED"/>
    <w:rsid w:val="00CA074E"/>
    <w:rsid w:val="00CB4854"/>
    <w:rsid w:val="00CB758C"/>
    <w:rsid w:val="00CC1AC5"/>
    <w:rsid w:val="00CC24EA"/>
    <w:rsid w:val="00CD5855"/>
    <w:rsid w:val="00CF04A4"/>
    <w:rsid w:val="00CF23E3"/>
    <w:rsid w:val="00CF2E98"/>
    <w:rsid w:val="00CF351A"/>
    <w:rsid w:val="00CF49BE"/>
    <w:rsid w:val="00D02FE2"/>
    <w:rsid w:val="00D03DE9"/>
    <w:rsid w:val="00D0683E"/>
    <w:rsid w:val="00D2393D"/>
    <w:rsid w:val="00D267E9"/>
    <w:rsid w:val="00D379F8"/>
    <w:rsid w:val="00D41E44"/>
    <w:rsid w:val="00D41EA9"/>
    <w:rsid w:val="00D4236F"/>
    <w:rsid w:val="00D615EB"/>
    <w:rsid w:val="00D66393"/>
    <w:rsid w:val="00D72495"/>
    <w:rsid w:val="00D91B46"/>
    <w:rsid w:val="00D97F73"/>
    <w:rsid w:val="00DA2156"/>
    <w:rsid w:val="00DB1241"/>
    <w:rsid w:val="00DB3575"/>
    <w:rsid w:val="00DB4F9E"/>
    <w:rsid w:val="00DC66B1"/>
    <w:rsid w:val="00DD39EA"/>
    <w:rsid w:val="00DD69D3"/>
    <w:rsid w:val="00DE0424"/>
    <w:rsid w:val="00E173E3"/>
    <w:rsid w:val="00E32783"/>
    <w:rsid w:val="00E334C9"/>
    <w:rsid w:val="00E34736"/>
    <w:rsid w:val="00E3562C"/>
    <w:rsid w:val="00E410E1"/>
    <w:rsid w:val="00E5431C"/>
    <w:rsid w:val="00E57EAB"/>
    <w:rsid w:val="00E60C2F"/>
    <w:rsid w:val="00E73A92"/>
    <w:rsid w:val="00E76E46"/>
    <w:rsid w:val="00E77608"/>
    <w:rsid w:val="00E83CD6"/>
    <w:rsid w:val="00E87562"/>
    <w:rsid w:val="00E91576"/>
    <w:rsid w:val="00EA26D3"/>
    <w:rsid w:val="00EB4D83"/>
    <w:rsid w:val="00EB56C3"/>
    <w:rsid w:val="00EC2651"/>
    <w:rsid w:val="00EC4732"/>
    <w:rsid w:val="00EC59F5"/>
    <w:rsid w:val="00EC63C2"/>
    <w:rsid w:val="00ED145F"/>
    <w:rsid w:val="00ED444D"/>
    <w:rsid w:val="00EF09F9"/>
    <w:rsid w:val="00EF0D59"/>
    <w:rsid w:val="00EF3301"/>
    <w:rsid w:val="00F00FA5"/>
    <w:rsid w:val="00F02E7F"/>
    <w:rsid w:val="00F124AD"/>
    <w:rsid w:val="00F2631E"/>
    <w:rsid w:val="00F26332"/>
    <w:rsid w:val="00F277B2"/>
    <w:rsid w:val="00F27AA6"/>
    <w:rsid w:val="00F3489B"/>
    <w:rsid w:val="00F47956"/>
    <w:rsid w:val="00F637B8"/>
    <w:rsid w:val="00F63ADC"/>
    <w:rsid w:val="00F70DCD"/>
    <w:rsid w:val="00F91629"/>
    <w:rsid w:val="00FB52B1"/>
    <w:rsid w:val="00FB77FF"/>
    <w:rsid w:val="00FC0A0F"/>
    <w:rsid w:val="00FC7970"/>
    <w:rsid w:val="00FD2962"/>
    <w:rsid w:val="00FE7B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31F94EE"/>
  <w15:chartTrackingRefBased/>
  <w15:docId w15:val="{B81217CC-C633-40E1-8B83-D4CF61F9C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4F3"/>
    <w:rPr>
      <w:sz w:val="24"/>
      <w:lang w:val="fr-FR"/>
    </w:rPr>
  </w:style>
  <w:style w:type="paragraph" w:styleId="Heading1">
    <w:name w:val="heading 1"/>
    <w:basedOn w:val="Normal"/>
    <w:next w:val="Normal"/>
    <w:qFormat/>
    <w:pPr>
      <w:keepNext/>
      <w:keepLines/>
      <w:pageBreakBefore/>
      <w:tabs>
        <w:tab w:val="left" w:pos="2552"/>
      </w:tabs>
      <w:spacing w:before="240" w:after="240"/>
      <w:jc w:val="center"/>
      <w:outlineLvl w:val="0"/>
    </w:pPr>
    <w:rPr>
      <w:rFonts w:ascii="Optima" w:hAnsi="Optima"/>
      <w:b/>
      <w:caps/>
      <w:snapToGrid w:val="0"/>
      <w:sz w:val="32"/>
      <w:lang w:val="en-GB" w:eastAsia="en-US"/>
    </w:rPr>
  </w:style>
  <w:style w:type="paragraph" w:styleId="Heading2">
    <w:name w:val="heading 2"/>
    <w:basedOn w:val="Heading1"/>
    <w:next w:val="Normal"/>
    <w:qFormat/>
    <w:pPr>
      <w:pageBreakBefore w:val="0"/>
      <w:numPr>
        <w:ilvl w:val="1"/>
        <w:numId w:val="1"/>
      </w:numPr>
      <w:spacing w:before="480" w:after="120"/>
      <w:outlineLvl w:val="1"/>
    </w:pPr>
    <w:rPr>
      <w:snapToGrid/>
      <w:sz w:val="28"/>
    </w:rPr>
  </w:style>
  <w:style w:type="paragraph" w:styleId="Heading3">
    <w:name w:val="heading 3"/>
    <w:basedOn w:val="Heading1"/>
    <w:next w:val="Normal"/>
    <w:qFormat/>
    <w:pPr>
      <w:pageBreakBefore w:val="0"/>
      <w:numPr>
        <w:ilvl w:val="2"/>
        <w:numId w:val="1"/>
      </w:numPr>
      <w:tabs>
        <w:tab w:val="clear" w:pos="2421"/>
        <w:tab w:val="clear" w:pos="2552"/>
      </w:tabs>
      <w:spacing w:before="360"/>
      <w:ind w:left="2410" w:hanging="709"/>
      <w:outlineLvl w:val="2"/>
    </w:pPr>
    <w:rPr>
      <w:sz w:val="24"/>
      <w:lang w:val="en-US"/>
    </w:rPr>
  </w:style>
  <w:style w:type="paragraph" w:styleId="Heading4">
    <w:name w:val="heading 4"/>
    <w:basedOn w:val="Heading1"/>
    <w:next w:val="Normal"/>
    <w:qFormat/>
    <w:pPr>
      <w:pageBreakBefore w:val="0"/>
      <w:numPr>
        <w:ilvl w:val="3"/>
        <w:numId w:val="1"/>
      </w:numPr>
      <w:tabs>
        <w:tab w:val="clear" w:pos="864"/>
      </w:tabs>
      <w:spacing w:after="0"/>
      <w:ind w:left="1701" w:firstLine="0"/>
      <w:outlineLvl w:val="3"/>
    </w:pPr>
    <w:rPr>
      <w:snapToGrid/>
      <w:sz w:val="22"/>
    </w:rPr>
  </w:style>
  <w:style w:type="paragraph" w:styleId="Heading5">
    <w:name w:val="heading 5"/>
    <w:basedOn w:val="Heading2"/>
    <w:next w:val="Normal"/>
    <w:qFormat/>
    <w:pPr>
      <w:numPr>
        <w:ilvl w:val="4"/>
      </w:numPr>
      <w:tabs>
        <w:tab w:val="clear" w:pos="1008"/>
        <w:tab w:val="num" w:pos="360"/>
      </w:tabs>
      <w:spacing w:before="240"/>
      <w:outlineLvl w:val="4"/>
    </w:pPr>
    <w:rPr>
      <w:sz w:val="22"/>
      <w:u w:val="single"/>
    </w:rPr>
  </w:style>
  <w:style w:type="paragraph" w:styleId="Heading6">
    <w:name w:val="heading 6"/>
    <w:basedOn w:val="Heading5"/>
    <w:next w:val="NormalIndent"/>
    <w:qFormat/>
    <w:pPr>
      <w:numPr>
        <w:ilvl w:val="5"/>
      </w:numPr>
      <w:tabs>
        <w:tab w:val="clear" w:pos="1152"/>
        <w:tab w:val="num" w:pos="360"/>
      </w:tabs>
      <w:outlineLvl w:val="5"/>
    </w:pPr>
  </w:style>
  <w:style w:type="paragraph" w:styleId="Heading7">
    <w:name w:val="heading 7"/>
    <w:basedOn w:val="Heading6"/>
    <w:next w:val="NormalIndent"/>
    <w:qFormat/>
    <w:pPr>
      <w:numPr>
        <w:ilvl w:val="6"/>
      </w:numPr>
      <w:tabs>
        <w:tab w:val="clear" w:pos="1296"/>
        <w:tab w:val="num" w:pos="360"/>
      </w:tabs>
      <w:outlineLvl w:val="6"/>
    </w:pPr>
  </w:style>
  <w:style w:type="paragraph" w:styleId="Heading8">
    <w:name w:val="heading 8"/>
    <w:basedOn w:val="Heading7"/>
    <w:next w:val="NormalIndent"/>
    <w:qFormat/>
    <w:pPr>
      <w:numPr>
        <w:ilvl w:val="7"/>
      </w:numPr>
      <w:tabs>
        <w:tab w:val="clear" w:pos="1440"/>
        <w:tab w:val="num" w:pos="360"/>
      </w:tabs>
      <w:outlineLvl w:val="7"/>
    </w:pPr>
  </w:style>
  <w:style w:type="paragraph" w:styleId="Heading9">
    <w:name w:val="heading 9"/>
    <w:basedOn w:val="Heading8"/>
    <w:next w:val="NormalIndent"/>
    <w:qFormat/>
    <w:pPr>
      <w:numPr>
        <w:ilvl w:val="8"/>
      </w:numPr>
      <w:tabs>
        <w:tab w:val="clear" w:pos="1584"/>
        <w:tab w:val="num" w:pos="360"/>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spacing w:before="240"/>
      <w:ind w:left="1701"/>
      <w:jc w:val="both"/>
    </w:pPr>
    <w:rPr>
      <w:rFonts w:ascii="Optima" w:hAnsi="Optima"/>
      <w:sz w:val="22"/>
      <w:lang w:val="en-GB"/>
    </w:rPr>
  </w:style>
  <w:style w:type="paragraph" w:customStyle="1" w:styleId="Annexetitle">
    <w:name w:val="Annexe_title"/>
    <w:basedOn w:val="Heading1"/>
    <w:next w:val="Normal"/>
    <w:autoRedefine/>
    <w:rsid w:val="004E7E57"/>
    <w:pPr>
      <w:keepNext w:val="0"/>
      <w:keepLines w:val="0"/>
      <w:pBdr>
        <w:top w:val="single" w:sz="18" w:space="15" w:color="808080" w:shadow="1"/>
        <w:left w:val="single" w:sz="18" w:space="4" w:color="808080" w:shadow="1"/>
        <w:bottom w:val="single" w:sz="18" w:space="15" w:color="808080" w:shadow="1"/>
        <w:right w:val="single" w:sz="18" w:space="4" w:color="808080" w:shadow="1"/>
      </w:pBdr>
      <w:tabs>
        <w:tab w:val="left" w:pos="1701"/>
      </w:tabs>
      <w:outlineLvl w:val="9"/>
    </w:pPr>
    <w:rPr>
      <w:rFonts w:ascii="Times New Roman" w:hAnsi="Times New Roman"/>
      <w:noProof/>
      <w:sz w:val="28"/>
      <w:szCs w:val="28"/>
      <w:shd w:val="clear" w:color="auto" w:fill="FFFFFF"/>
    </w:rPr>
  </w:style>
  <w:style w:type="paragraph" w:styleId="FootnoteText">
    <w:name w:val="footnote text"/>
    <w:basedOn w:val="Normal"/>
    <w:semiHidden/>
    <w:pPr>
      <w:ind w:left="720" w:hanging="720"/>
    </w:pPr>
    <w:rPr>
      <w:sz w:val="20"/>
    </w:rPr>
  </w:style>
  <w:style w:type="character" w:styleId="FootnoteReference">
    <w:name w:val="footnote reference"/>
    <w:aliases w:val="BVI fnr,(Footnote Reference),SUPERS,Footnote Reference/,Footnote symbol,Footnotes refss,Footnote Reference Superscript,Footnote,Footnote reference number,note TESI,EN Footnote Reference,Voetnootverwijzing,Times 10 Point,No,Re"/>
    <w:rPr>
      <w:vertAlign w:val="superscript"/>
    </w:rPr>
  </w:style>
  <w:style w:type="paragraph" w:styleId="Header">
    <w:name w:val="header"/>
    <w:basedOn w:val="Normal"/>
    <w:next w:val="Normal"/>
    <w:pPr>
      <w:tabs>
        <w:tab w:val="center" w:pos="4320"/>
        <w:tab w:val="right" w:pos="7080"/>
        <w:tab w:val="right" w:pos="8640"/>
      </w:tabs>
      <w:spacing w:before="60" w:after="60"/>
    </w:pPr>
    <w:rPr>
      <w:rFonts w:ascii="Optima" w:hAnsi="Optima"/>
      <w:b/>
      <w:snapToGrid w:val="0"/>
      <w:sz w:val="32"/>
      <w:lang w:val="en-GB" w:eastAsia="en-US"/>
    </w:rPr>
  </w:style>
  <w:style w:type="character" w:styleId="PageNumber">
    <w:name w:val="page number"/>
    <w:basedOn w:val="DefaultParagraphFont"/>
  </w:style>
  <w:style w:type="paragraph" w:styleId="Footer">
    <w:name w:val="footer"/>
    <w:basedOn w:val="Normal"/>
    <w:next w:val="Normal"/>
    <w:pPr>
      <w:pBdr>
        <w:top w:val="single" w:sz="6" w:space="5" w:color="auto"/>
      </w:pBdr>
      <w:tabs>
        <w:tab w:val="center" w:pos="4111"/>
        <w:tab w:val="right" w:pos="8760"/>
      </w:tabs>
    </w:pPr>
    <w:rPr>
      <w:rFonts w:ascii="Optima" w:hAnsi="Optima"/>
      <w:b/>
      <w:snapToGrid w:val="0"/>
      <w:sz w:val="18"/>
      <w:lang w:val="en-GB" w:eastAsia="en-US"/>
    </w:rPr>
  </w:style>
  <w:style w:type="numbering" w:customStyle="1" w:styleId="NoList1">
    <w:name w:val="No List1"/>
    <w:next w:val="NoList"/>
    <w:semiHidden/>
    <w:rsid w:val="00495F90"/>
  </w:style>
  <w:style w:type="paragraph" w:customStyle="1" w:styleId="NormalWeb8">
    <w:name w:val="Normal (Web)8"/>
    <w:basedOn w:val="Normal"/>
    <w:rsid w:val="00495F90"/>
    <w:pPr>
      <w:spacing w:before="75" w:after="75"/>
      <w:ind w:left="225" w:right="225"/>
    </w:pPr>
    <w:rPr>
      <w:sz w:val="22"/>
      <w:szCs w:val="22"/>
      <w:lang w:val="en-GB"/>
    </w:rPr>
  </w:style>
  <w:style w:type="character" w:styleId="Strong">
    <w:name w:val="Strong"/>
    <w:qFormat/>
    <w:rsid w:val="00495F90"/>
    <w:rPr>
      <w:b/>
      <w:bCs/>
    </w:rPr>
  </w:style>
  <w:style w:type="paragraph" w:customStyle="1" w:styleId="Text1">
    <w:name w:val="Text 1"/>
    <w:basedOn w:val="Normal"/>
    <w:rsid w:val="008B14F4"/>
    <w:pPr>
      <w:spacing w:before="120" w:after="120" w:line="360" w:lineRule="auto"/>
      <w:ind w:left="850"/>
    </w:pPr>
    <w:rPr>
      <w:lang w:val="en-GB" w:eastAsia="fr-BE"/>
    </w:rPr>
  </w:style>
  <w:style w:type="paragraph" w:customStyle="1" w:styleId="Point1">
    <w:name w:val="Point 1"/>
    <w:basedOn w:val="Normal"/>
    <w:rsid w:val="008B14F4"/>
    <w:pPr>
      <w:spacing w:before="120" w:after="120" w:line="360" w:lineRule="auto"/>
      <w:ind w:left="1417" w:hanging="567"/>
    </w:pPr>
    <w:rPr>
      <w:lang w:val="en-GB" w:eastAsia="fr-BE"/>
    </w:rPr>
  </w:style>
  <w:style w:type="paragraph" w:customStyle="1" w:styleId="Point2">
    <w:name w:val="Point 2"/>
    <w:basedOn w:val="Normal"/>
    <w:rsid w:val="008B14F4"/>
    <w:pPr>
      <w:spacing w:before="120" w:after="120" w:line="360" w:lineRule="auto"/>
      <w:ind w:left="1984" w:hanging="567"/>
    </w:pPr>
    <w:rPr>
      <w:lang w:val="en-GB" w:eastAsia="fr-BE"/>
    </w:rPr>
  </w:style>
  <w:style w:type="paragraph" w:customStyle="1" w:styleId="Point3">
    <w:name w:val="Point 3"/>
    <w:basedOn w:val="Normal"/>
    <w:rsid w:val="008B14F4"/>
    <w:pPr>
      <w:spacing w:before="120" w:after="120" w:line="360" w:lineRule="auto"/>
      <w:ind w:left="2551" w:hanging="567"/>
    </w:pPr>
    <w:rPr>
      <w:lang w:val="en-GB" w:eastAsia="fr-BE"/>
    </w:rPr>
  </w:style>
  <w:style w:type="paragraph" w:customStyle="1" w:styleId="Point4">
    <w:name w:val="Point 4"/>
    <w:basedOn w:val="Normal"/>
    <w:rsid w:val="008B14F4"/>
    <w:pPr>
      <w:spacing w:before="120" w:after="120" w:line="360" w:lineRule="auto"/>
      <w:ind w:left="3118" w:hanging="567"/>
    </w:pPr>
    <w:rPr>
      <w:lang w:val="en-GB" w:eastAsia="fr-BE"/>
    </w:rPr>
  </w:style>
  <w:style w:type="paragraph" w:customStyle="1" w:styleId="Tiret1">
    <w:name w:val="Tiret 1"/>
    <w:basedOn w:val="Point1"/>
    <w:rsid w:val="008B14F4"/>
    <w:pPr>
      <w:numPr>
        <w:numId w:val="3"/>
      </w:numPr>
    </w:pPr>
  </w:style>
  <w:style w:type="paragraph" w:customStyle="1" w:styleId="Tiret4">
    <w:name w:val="Tiret 4"/>
    <w:basedOn w:val="Point4"/>
    <w:rsid w:val="008B14F4"/>
    <w:pPr>
      <w:numPr>
        <w:numId w:val="4"/>
      </w:numPr>
    </w:pPr>
  </w:style>
  <w:style w:type="paragraph" w:customStyle="1" w:styleId="ManualNumPar1">
    <w:name w:val="Manual NumPar 1"/>
    <w:basedOn w:val="Normal"/>
    <w:next w:val="Text1"/>
    <w:rsid w:val="008B14F4"/>
    <w:pPr>
      <w:spacing w:before="120" w:after="120" w:line="360" w:lineRule="auto"/>
      <w:ind w:left="850" w:hanging="850"/>
    </w:pPr>
    <w:rPr>
      <w:lang w:val="en-GB" w:eastAsia="fr-BE"/>
    </w:rPr>
  </w:style>
  <w:style w:type="paragraph" w:customStyle="1" w:styleId="Annexetitreacte">
    <w:name w:val="Annexe titre (acte)"/>
    <w:basedOn w:val="Normal"/>
    <w:next w:val="Normal"/>
    <w:rsid w:val="007D7744"/>
    <w:pPr>
      <w:spacing w:before="120" w:after="120" w:line="360" w:lineRule="auto"/>
      <w:jc w:val="center"/>
    </w:pPr>
    <w:rPr>
      <w:b/>
      <w:u w:val="single"/>
      <w:lang w:val="en-GB" w:eastAsia="fr-BE"/>
    </w:rPr>
  </w:style>
  <w:style w:type="character" w:styleId="Emphasis">
    <w:name w:val="Emphasis"/>
    <w:qFormat/>
    <w:rsid w:val="00203750"/>
    <w:rPr>
      <w:i/>
      <w:iCs/>
    </w:rPr>
  </w:style>
  <w:style w:type="paragraph" w:styleId="BalloonText">
    <w:name w:val="Balloon Text"/>
    <w:basedOn w:val="Normal"/>
    <w:semiHidden/>
    <w:rsid w:val="00C1621D"/>
    <w:rPr>
      <w:rFonts w:ascii="Tahoma" w:hAnsi="Tahoma" w:cs="Tahoma"/>
      <w:sz w:val="16"/>
      <w:szCs w:val="16"/>
    </w:rPr>
  </w:style>
  <w:style w:type="paragraph" w:styleId="DocumentMap">
    <w:name w:val="Document Map"/>
    <w:basedOn w:val="Normal"/>
    <w:semiHidden/>
    <w:rsid w:val="00BD2D17"/>
    <w:pPr>
      <w:shd w:val="clear" w:color="auto" w:fill="000080"/>
    </w:pPr>
    <w:rPr>
      <w:rFonts w:ascii="Tahoma" w:hAnsi="Tahoma" w:cs="Tahoma"/>
      <w:sz w:val="20"/>
    </w:rPr>
  </w:style>
  <w:style w:type="character" w:styleId="CommentReference">
    <w:name w:val="annotation reference"/>
    <w:rsid w:val="00EF0D59"/>
    <w:rPr>
      <w:sz w:val="16"/>
      <w:szCs w:val="16"/>
    </w:rPr>
  </w:style>
  <w:style w:type="paragraph" w:styleId="CommentText">
    <w:name w:val="annotation text"/>
    <w:basedOn w:val="Normal"/>
    <w:link w:val="CommentTextChar"/>
    <w:rsid w:val="00EF0D59"/>
    <w:rPr>
      <w:sz w:val="20"/>
    </w:rPr>
  </w:style>
  <w:style w:type="character" w:customStyle="1" w:styleId="CommentTextChar">
    <w:name w:val="Comment Text Char"/>
    <w:link w:val="CommentText"/>
    <w:rsid w:val="00EF0D59"/>
    <w:rPr>
      <w:lang w:val="fr-FR"/>
    </w:rPr>
  </w:style>
  <w:style w:type="paragraph" w:styleId="CommentSubject">
    <w:name w:val="annotation subject"/>
    <w:basedOn w:val="CommentText"/>
    <w:next w:val="CommentText"/>
    <w:link w:val="CommentSubjectChar"/>
    <w:rsid w:val="00EF0D59"/>
    <w:rPr>
      <w:b/>
      <w:bCs/>
    </w:rPr>
  </w:style>
  <w:style w:type="character" w:customStyle="1" w:styleId="CommentSubjectChar">
    <w:name w:val="Comment Subject Char"/>
    <w:link w:val="CommentSubject"/>
    <w:rsid w:val="00EF0D59"/>
    <w:rPr>
      <w:b/>
      <w:bC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3226</Words>
  <Characters>17168</Characters>
  <Application>Microsoft Office Word</Application>
  <DocSecurity>0</DocSecurity>
  <Lines>301</Lines>
  <Paragraphs>106</Paragraphs>
  <ScaleCrop>false</ScaleCrop>
  <HeadingPairs>
    <vt:vector size="2" baseType="variant">
      <vt:variant>
        <vt:lpstr>Title</vt:lpstr>
      </vt:variant>
      <vt:variant>
        <vt:i4>1</vt:i4>
      </vt:variant>
    </vt:vector>
  </HeadingPairs>
  <TitlesOfParts>
    <vt:vector size="1" baseType="lpstr">
      <vt:lpstr>Aide extérieure de la CE, par pays:</vt:lpstr>
    </vt:vector>
  </TitlesOfParts>
  <Company> </Company>
  <LinksUpToDate>false</LinksUpToDate>
  <CharactersWithSpaces>20288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Aide extérieure de la CE, par pays:</dc:title>
  <dc:subject/>
  <dc:creator>dussade</dc:creator>
  <cp:keywords/>
  <dc:description/>
  <cp:lastModifiedBy>MARTINEZ SORIANO Andres (DEVCO-EXT)</cp:lastModifiedBy>
  <cp:revision>3</cp:revision>
  <cp:lastPrinted>2015-10-28T14:10:00Z</cp:lastPrinted>
  <dcterms:created xsi:type="dcterms:W3CDTF">2018-10-18T10:23:00Z</dcterms:created>
  <dcterms:modified xsi:type="dcterms:W3CDTF">2019-07-11T12:16:00Z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