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50EE" w:rsidRPr="00C4392E" w:rsidRDefault="001050EE" w:rsidP="00C4392E">
      <w:pPr>
        <w:jc w:val="center"/>
        <w:rPr>
          <w:b/>
          <w:sz w:val="28"/>
          <w:szCs w:val="28"/>
        </w:rPr>
      </w:pPr>
      <w:bookmarkStart w:id="0" w:name="_GoBack"/>
      <w:bookmarkEnd w:id="0"/>
      <w:r>
        <w:rPr>
          <w:b/>
          <w:sz w:val="28"/>
        </w:rPr>
        <w:t>VOLUMEN 2</w:t>
      </w:r>
    </w:p>
    <w:p w:rsidR="00C4392E" w:rsidRPr="00C4392E" w:rsidRDefault="001050EE" w:rsidP="00C4392E">
      <w:pPr>
        <w:spacing w:before="360"/>
        <w:jc w:val="center"/>
        <w:rPr>
          <w:b/>
          <w:sz w:val="28"/>
          <w:szCs w:val="28"/>
        </w:rPr>
      </w:pPr>
      <w:bookmarkStart w:id="1" w:name="_Toc71357730"/>
      <w:bookmarkStart w:id="2" w:name="_Toc71357944"/>
      <w:bookmarkStart w:id="3" w:name="_Toc72056418"/>
      <w:bookmarkStart w:id="4" w:name="_Toc76894272"/>
      <w:bookmarkStart w:id="5" w:name="_Toc76894411"/>
      <w:r>
        <w:rPr>
          <w:b/>
          <w:sz w:val="28"/>
        </w:rPr>
        <w:t>SECCIÓN 3</w:t>
      </w:r>
    </w:p>
    <w:p w:rsidR="00340C6C" w:rsidRPr="00C4392E" w:rsidRDefault="001050EE" w:rsidP="00C4392E">
      <w:pPr>
        <w:spacing w:after="360"/>
        <w:jc w:val="center"/>
        <w:rPr>
          <w:b/>
          <w:sz w:val="28"/>
          <w:szCs w:val="28"/>
        </w:rPr>
      </w:pPr>
      <w:r>
        <w:rPr>
          <w:b/>
          <w:sz w:val="28"/>
        </w:rPr>
        <w:t>CONDICIONES PARTICULARES</w:t>
      </w:r>
      <w:bookmarkStart w:id="6" w:name="_Toc71357731"/>
      <w:bookmarkStart w:id="7" w:name="_Toc71357945"/>
      <w:bookmarkStart w:id="8" w:name="_Toc72056419"/>
      <w:bookmarkStart w:id="9" w:name="_Toc76894412"/>
      <w:bookmarkEnd w:id="1"/>
      <w:bookmarkEnd w:id="2"/>
      <w:bookmarkEnd w:id="3"/>
      <w:bookmarkEnd w:id="4"/>
      <w:bookmarkEnd w:id="5"/>
    </w:p>
    <w:p w:rsidR="00340C6C" w:rsidRDefault="001050EE" w:rsidP="00C4392E">
      <w:pPr>
        <w:spacing w:before="240" w:after="120"/>
        <w:outlineLvl w:val="0"/>
        <w:rPr>
          <w:szCs w:val="24"/>
        </w:rPr>
      </w:pPr>
      <w:r>
        <w:rPr>
          <w:b/>
          <w:sz w:val="28"/>
        </w:rPr>
        <w:t>SUMARIO</w:t>
      </w:r>
      <w:bookmarkEnd w:id="6"/>
      <w:bookmarkEnd w:id="7"/>
      <w:bookmarkEnd w:id="8"/>
      <w:bookmarkEnd w:id="9"/>
    </w:p>
    <w:p w:rsidR="001050EE" w:rsidRPr="00F2670B" w:rsidRDefault="001050EE" w:rsidP="00C4392E">
      <w:pPr>
        <w:jc w:val="both"/>
        <w:outlineLvl w:val="0"/>
        <w:rPr>
          <w:sz w:val="22"/>
          <w:szCs w:val="22"/>
        </w:rPr>
      </w:pPr>
      <w:r>
        <w:rPr>
          <w:sz w:val="22"/>
        </w:rPr>
        <w:t xml:space="preserve">Estas condiciones precisan y completan las disposiciones de las Condiciones Generales aplicables al </w:t>
      </w:r>
      <w:r w:rsidR="00B42C3E">
        <w:rPr>
          <w:sz w:val="22"/>
        </w:rPr>
        <w:t>contrato</w:t>
      </w:r>
      <w:r>
        <w:rPr>
          <w:sz w:val="22"/>
        </w:rPr>
        <w:t xml:space="preserve">. Salvo que estas Condiciones Particulares dispongan otra cosa, las Condiciones Generales seguirán siendo plenamente aplicables. Las cláusulas de las Condiciones Particulares no están numeradas consecutivamente, sino que siguen la numeración de las Condiciones Generales. Otras Condiciones Particulares deberían indicarse posteriormente. </w:t>
      </w:r>
    </w:p>
    <w:p w:rsidR="005E355B" w:rsidRPr="00F2670B" w:rsidRDefault="005E355B" w:rsidP="005E355B">
      <w:pPr>
        <w:pStyle w:val="Subtitle"/>
        <w:jc w:val="both"/>
        <w:rPr>
          <w:rFonts w:ascii="Times New Roman" w:hAnsi="Times New Roman"/>
          <w:b w:val="0"/>
          <w:sz w:val="22"/>
          <w:szCs w:val="22"/>
          <w:highlight w:val="yellow"/>
        </w:rPr>
      </w:pPr>
      <w:r>
        <w:rPr>
          <w:rFonts w:ascii="Times New Roman" w:hAnsi="Times New Roman"/>
          <w:b w:val="0"/>
          <w:sz w:val="22"/>
          <w:highlight w:val="yellow"/>
        </w:rPr>
        <w:t>Cómo completar las presentes Condiciones Particulares:</w:t>
      </w:r>
    </w:p>
    <w:p w:rsidR="00746AD0" w:rsidRDefault="005E355B" w:rsidP="00B42C3E">
      <w:pPr>
        <w:jc w:val="both"/>
        <w:rPr>
          <w:b/>
          <w:sz w:val="22"/>
          <w:highlight w:val="yellow"/>
        </w:rPr>
      </w:pPr>
      <w:r w:rsidRPr="00B42C3E">
        <w:rPr>
          <w:b/>
          <w:sz w:val="22"/>
          <w:highlight w:val="yellow"/>
        </w:rPr>
        <w:t>Los elementos situados entre los signos</w:t>
      </w:r>
      <w:r w:rsidRPr="00036A8A">
        <w:rPr>
          <w:sz w:val="22"/>
          <w:highlight w:val="yellow"/>
        </w:rPr>
        <w:t xml:space="preserve"> </w:t>
      </w:r>
      <w:r w:rsidR="00E63ABD" w:rsidRPr="00036A8A">
        <w:rPr>
          <w:sz w:val="22"/>
          <w:highlight w:val="yellow"/>
        </w:rPr>
        <w:t>&lt;…</w:t>
      </w:r>
      <w:r w:rsidRPr="00036A8A">
        <w:rPr>
          <w:sz w:val="22"/>
          <w:highlight w:val="yellow"/>
        </w:rPr>
        <w:t xml:space="preserve"> &gt; </w:t>
      </w:r>
      <w:r w:rsidRPr="00B42C3E">
        <w:rPr>
          <w:b/>
          <w:sz w:val="22"/>
          <w:highlight w:val="yellow"/>
        </w:rPr>
        <w:t xml:space="preserve">deben completarse con la información oportuna correspondiente a las Condiciones Particulares. </w:t>
      </w:r>
      <w:r w:rsidR="00036A8A" w:rsidRPr="00B42C3E">
        <w:rPr>
          <w:b/>
          <w:sz w:val="22"/>
          <w:highlight w:val="yellow"/>
        </w:rPr>
        <w:t>Los corchetes [ ] y las partes sombreadas en gris indican las opciones a elegir: deben eliminarse cuando proceda, pero no deben modificarse</w:t>
      </w:r>
      <w:r w:rsidR="00036A8A" w:rsidRPr="00036A8A">
        <w:rPr>
          <w:sz w:val="22"/>
          <w:highlight w:val="yellow"/>
        </w:rPr>
        <w:t>. Todas las demás partes de estas instrucciones estándar deben dejar</w:t>
      </w:r>
      <w:r w:rsidR="00036A8A">
        <w:rPr>
          <w:sz w:val="22"/>
          <w:highlight w:val="yellow"/>
        </w:rPr>
        <w:t>se</w:t>
      </w:r>
      <w:r w:rsidR="00036A8A" w:rsidRPr="00036A8A">
        <w:rPr>
          <w:sz w:val="22"/>
          <w:highlight w:val="yellow"/>
        </w:rPr>
        <w:t xml:space="preserve"> sin </w:t>
      </w:r>
      <w:r w:rsidR="00036A8A">
        <w:rPr>
          <w:sz w:val="22"/>
          <w:highlight w:val="yellow"/>
        </w:rPr>
        <w:t>modificar</w:t>
      </w:r>
      <w:r w:rsidR="00036A8A" w:rsidRPr="00036A8A">
        <w:rPr>
          <w:sz w:val="22"/>
          <w:highlight w:val="yellow"/>
        </w:rPr>
        <w:t xml:space="preserve">. </w:t>
      </w:r>
      <w:r w:rsidR="00036A8A" w:rsidRPr="00B42C3E">
        <w:rPr>
          <w:b/>
          <w:sz w:val="22"/>
          <w:highlight w:val="yellow"/>
        </w:rPr>
        <w:t>En la versión final de las instrucciones a los licitadores, no olvide borrar este párrafo, cualquier otro texto con sombreado amarillo y suprimir los corchetes grises cuando corresponda</w:t>
      </w:r>
      <w:r w:rsidR="00036A8A" w:rsidRPr="00746AD0">
        <w:rPr>
          <w:sz w:val="22"/>
          <w:highlight w:val="yellow"/>
        </w:rPr>
        <w:t>.</w:t>
      </w:r>
    </w:p>
    <w:p w:rsidR="005E355B" w:rsidRPr="00B42C3E" w:rsidRDefault="005E355B" w:rsidP="00B42C3E">
      <w:pPr>
        <w:jc w:val="both"/>
        <w:rPr>
          <w:b/>
          <w:sz w:val="22"/>
          <w:highlight w:val="yellow"/>
        </w:rPr>
      </w:pPr>
      <w:r w:rsidRPr="00B42C3E">
        <w:rPr>
          <w:b/>
          <w:sz w:val="22"/>
          <w:highlight w:val="yellow"/>
        </w:rPr>
        <w:t xml:space="preserve">Recuerde que las Condiciones Particulares </w:t>
      </w:r>
      <w:r w:rsidR="00884D78" w:rsidRPr="00B42C3E">
        <w:rPr>
          <w:b/>
          <w:sz w:val="22"/>
          <w:highlight w:val="yellow"/>
        </w:rPr>
        <w:t xml:space="preserve">permiten variaciones de las Condiciones Generales. El uso de otras variaciones de las Condiciones Generales exige </w:t>
      </w:r>
      <w:r w:rsidR="00707EBF" w:rsidRPr="00B42C3E">
        <w:rPr>
          <w:b/>
          <w:sz w:val="22"/>
          <w:highlight w:val="yellow"/>
        </w:rPr>
        <w:t>la aprobación de</w:t>
      </w:r>
      <w:r w:rsidR="00884D78" w:rsidRPr="00B42C3E">
        <w:rPr>
          <w:b/>
          <w:sz w:val="22"/>
          <w:highlight w:val="yellow"/>
        </w:rPr>
        <w:t xml:space="preserve"> una excepción por parte de los servicios competentes de la Comisión Europea</w:t>
      </w:r>
      <w:r w:rsidRPr="00B42C3E">
        <w:rPr>
          <w:b/>
          <w:sz w:val="22"/>
          <w:highlight w:val="yellow"/>
        </w:rPr>
        <w:t>.</w:t>
      </w:r>
    </w:p>
    <w:p w:rsidR="00746AD0" w:rsidRPr="00746AD0" w:rsidRDefault="00746AD0" w:rsidP="005E355B">
      <w:pPr>
        <w:pStyle w:val="Subtitle"/>
        <w:jc w:val="both"/>
        <w:rPr>
          <w:rFonts w:ascii="Times New Roman" w:hAnsi="Times New Roman"/>
          <w:b w:val="0"/>
          <w:sz w:val="22"/>
          <w:highlight w:val="yellow"/>
        </w:rPr>
      </w:pPr>
    </w:p>
    <w:p w:rsidR="001050EE" w:rsidRPr="00C4392E" w:rsidRDefault="003D764D" w:rsidP="003D764D">
      <w:pPr>
        <w:spacing w:before="240"/>
        <w:ind w:left="1134" w:hanging="1134"/>
        <w:jc w:val="both"/>
        <w:rPr>
          <w:b/>
          <w:szCs w:val="24"/>
        </w:rPr>
      </w:pPr>
      <w:bookmarkStart w:id="10" w:name="_Toc76894414"/>
      <w:r>
        <w:rPr>
          <w:b/>
        </w:rPr>
        <w:t>Cláusula 2</w:t>
      </w:r>
      <w:r>
        <w:tab/>
      </w:r>
      <w:r>
        <w:rPr>
          <w:b/>
        </w:rPr>
        <w:t xml:space="preserve">Lengua del </w:t>
      </w:r>
      <w:r w:rsidR="00B42C3E">
        <w:rPr>
          <w:b/>
        </w:rPr>
        <w:t>contrato</w:t>
      </w:r>
      <w:bookmarkEnd w:id="10"/>
    </w:p>
    <w:p w:rsidR="001050EE" w:rsidRPr="003D764D" w:rsidRDefault="001050EE" w:rsidP="003D764D">
      <w:pPr>
        <w:spacing w:before="120" w:after="120"/>
        <w:ind w:left="1134" w:hanging="567"/>
        <w:rPr>
          <w:sz w:val="22"/>
          <w:szCs w:val="22"/>
        </w:rPr>
      </w:pPr>
      <w:r>
        <w:rPr>
          <w:sz w:val="22"/>
        </w:rPr>
        <w:t>2.1</w:t>
      </w:r>
      <w:r>
        <w:tab/>
      </w:r>
      <w:r>
        <w:rPr>
          <w:sz w:val="22"/>
        </w:rPr>
        <w:t>La lengua utilizada será el español.</w:t>
      </w:r>
      <w:r>
        <w:rPr>
          <w:sz w:val="22"/>
          <w:shd w:val="solid" w:color="C0C0C0" w:fill="FFFFFF"/>
        </w:rPr>
        <w:t xml:space="preserve"> </w:t>
      </w:r>
    </w:p>
    <w:p w:rsidR="001050EE" w:rsidRPr="003D764D" w:rsidRDefault="001050EE" w:rsidP="003D764D">
      <w:pPr>
        <w:spacing w:before="240"/>
        <w:ind w:left="1134" w:hanging="1134"/>
        <w:jc w:val="both"/>
        <w:rPr>
          <w:b/>
          <w:szCs w:val="24"/>
        </w:rPr>
      </w:pPr>
      <w:bookmarkStart w:id="11" w:name="_Toc76894416"/>
      <w:r>
        <w:rPr>
          <w:b/>
        </w:rPr>
        <w:t>Cláusula 4</w:t>
      </w:r>
      <w:r>
        <w:tab/>
      </w:r>
      <w:r>
        <w:rPr>
          <w:b/>
        </w:rPr>
        <w:t>Comunicación</w:t>
      </w:r>
      <w:bookmarkEnd w:id="11"/>
    </w:p>
    <w:p w:rsidR="001050EE" w:rsidRDefault="003D764D" w:rsidP="00C057D3">
      <w:pPr>
        <w:spacing w:before="120" w:after="120"/>
        <w:ind w:left="1134" w:hanging="567"/>
        <w:jc w:val="both"/>
        <w:rPr>
          <w:sz w:val="22"/>
        </w:rPr>
      </w:pPr>
      <w:r>
        <w:rPr>
          <w:sz w:val="22"/>
        </w:rPr>
        <w:t>4.1</w:t>
      </w:r>
      <w:r>
        <w:tab/>
      </w:r>
      <w:r>
        <w:rPr>
          <w:sz w:val="22"/>
        </w:rPr>
        <w:t>&lt;</w:t>
      </w:r>
      <w:r>
        <w:rPr>
          <w:sz w:val="22"/>
          <w:highlight w:val="yellow"/>
        </w:rPr>
        <w:t>Indíquense las personas de contacto, las direcciones de las Partes, sus otros datos de contacto, la documentación que hay que presentar y el procedimiento que deberán utilizar las Partes para la comunicación</w:t>
      </w:r>
      <w:r>
        <w:rPr>
          <w:sz w:val="22"/>
        </w:rPr>
        <w:t>.&gt;</w:t>
      </w:r>
    </w:p>
    <w:p w:rsidR="00EE6E3C" w:rsidRPr="00EE6E3C" w:rsidRDefault="00EE6E3C" w:rsidP="00EE6E3C">
      <w:pPr>
        <w:spacing w:before="120" w:after="120"/>
        <w:ind w:left="1134" w:hanging="567"/>
        <w:jc w:val="both"/>
        <w:rPr>
          <w:sz w:val="22"/>
          <w:szCs w:val="22"/>
          <w:lang w:val="es-ES_tradnl"/>
        </w:rPr>
      </w:pPr>
      <w:r>
        <w:rPr>
          <w:sz w:val="22"/>
          <w:szCs w:val="22"/>
          <w:lang w:val="es-ES_tradnl"/>
        </w:rPr>
        <w:t>4.2</w:t>
      </w:r>
      <w:r>
        <w:rPr>
          <w:sz w:val="22"/>
          <w:szCs w:val="22"/>
          <w:lang w:val="es-ES_tradnl"/>
        </w:rPr>
        <w:tab/>
      </w:r>
      <w:r w:rsidRPr="00EE6E3C">
        <w:rPr>
          <w:sz w:val="22"/>
          <w:szCs w:val="22"/>
          <w:lang w:val="es-ES_tradnl"/>
        </w:rPr>
        <w:t xml:space="preserve">El Órgano de Contratación y el contratista utilizarán un sistema electrónico para todas las fases de la ejecución que incluirán, entre otras, la gestión del contrato (modificaciones y órdenes administrativas), la presentación de informes (incluida la información sobre los resultados) y los pagos. El contratista estará obligado a inscribirse y utilizar el sistema de intercambio electrónico adecuado para la gestión electrónica del contrato. </w:t>
      </w:r>
    </w:p>
    <w:p w:rsidR="00EE6E3C" w:rsidRPr="001845B2" w:rsidRDefault="00EE6E3C" w:rsidP="00EE6E3C">
      <w:pPr>
        <w:spacing w:before="120" w:after="120"/>
        <w:ind w:left="1134" w:hanging="567"/>
        <w:jc w:val="both"/>
        <w:rPr>
          <w:sz w:val="20"/>
          <w:lang w:val="es-ES_tradnl"/>
        </w:rPr>
      </w:pPr>
      <w:r w:rsidRPr="00EE6E3C">
        <w:rPr>
          <w:sz w:val="22"/>
          <w:szCs w:val="22"/>
          <w:lang w:val="es-ES_tradnl"/>
        </w:rPr>
        <w:tab/>
        <w:t>La gestión electrónica del contrato a través de dicho sistema podrá comenzar en la fecha de inicio de la ejecución del contrato, tal como se describe en la cláusula 33 de las Condiciones Generales del contrato, o en una fecha posterior. En este último caso, el Órgano de Contratación informará por escrito al contratista de que se le pedirá que utilice el sistema electrónico para todas las comunicaciones en un plazo máximo de 3 meses</w:t>
      </w:r>
      <w:r>
        <w:rPr>
          <w:sz w:val="22"/>
          <w:szCs w:val="22"/>
          <w:lang w:val="es-ES_tradnl"/>
        </w:rPr>
        <w:t>.</w:t>
      </w:r>
    </w:p>
    <w:p w:rsidR="001050EE" w:rsidRPr="003D764D" w:rsidRDefault="001050EE" w:rsidP="003D764D">
      <w:pPr>
        <w:spacing w:before="240"/>
        <w:ind w:left="1134" w:hanging="1134"/>
        <w:jc w:val="both"/>
        <w:rPr>
          <w:b/>
          <w:szCs w:val="24"/>
        </w:rPr>
      </w:pPr>
      <w:bookmarkStart w:id="12" w:name="_Toc76894417"/>
      <w:r>
        <w:rPr>
          <w:b/>
        </w:rPr>
        <w:t>Cláusula 5</w:t>
      </w:r>
      <w:r>
        <w:tab/>
      </w:r>
      <w:r w:rsidR="00C057D3">
        <w:tab/>
      </w:r>
      <w:r>
        <w:rPr>
          <w:b/>
        </w:rPr>
        <w:t xml:space="preserve">Supervisor y representante del </w:t>
      </w:r>
      <w:r w:rsidR="002C30FD">
        <w:rPr>
          <w:b/>
        </w:rPr>
        <w:t>supervisor</w:t>
      </w:r>
      <w:bookmarkEnd w:id="12"/>
    </w:p>
    <w:p w:rsidR="001050EE" w:rsidRPr="003D764D" w:rsidRDefault="001050EE" w:rsidP="00A12DBD">
      <w:pPr>
        <w:spacing w:before="120" w:after="120"/>
        <w:ind w:left="1134" w:hanging="567"/>
        <w:jc w:val="both"/>
        <w:rPr>
          <w:sz w:val="22"/>
          <w:szCs w:val="22"/>
        </w:rPr>
      </w:pPr>
      <w:r>
        <w:rPr>
          <w:sz w:val="22"/>
        </w:rPr>
        <w:t>5.2</w:t>
      </w:r>
      <w:r>
        <w:tab/>
      </w:r>
      <w:r>
        <w:rPr>
          <w:sz w:val="22"/>
        </w:rPr>
        <w:t>&lt;</w:t>
      </w:r>
      <w:r>
        <w:rPr>
          <w:sz w:val="22"/>
          <w:highlight w:val="yellow"/>
        </w:rPr>
        <w:t xml:space="preserve">Especifíquense los recursos disponibles para el </w:t>
      </w:r>
      <w:r w:rsidR="002C30FD">
        <w:rPr>
          <w:sz w:val="22"/>
          <w:highlight w:val="yellow"/>
        </w:rPr>
        <w:t>supervisor</w:t>
      </w:r>
      <w:r>
        <w:rPr>
          <w:sz w:val="22"/>
          <w:highlight w:val="yellow"/>
        </w:rPr>
        <w:t xml:space="preserve"> del proyecto y su representante</w:t>
      </w:r>
      <w:r>
        <w:rPr>
          <w:sz w:val="22"/>
        </w:rPr>
        <w:t>.&gt;</w:t>
      </w:r>
    </w:p>
    <w:p w:rsidR="001050EE" w:rsidRPr="003D764D" w:rsidRDefault="001050EE" w:rsidP="00A12DBD">
      <w:pPr>
        <w:spacing w:before="120" w:after="120"/>
        <w:ind w:left="1134" w:hanging="567"/>
        <w:jc w:val="both"/>
        <w:rPr>
          <w:sz w:val="22"/>
          <w:szCs w:val="22"/>
        </w:rPr>
      </w:pPr>
      <w:r>
        <w:rPr>
          <w:sz w:val="22"/>
        </w:rPr>
        <w:t>5.3</w:t>
      </w:r>
      <w:r>
        <w:tab/>
      </w:r>
      <w:r>
        <w:rPr>
          <w:sz w:val="22"/>
        </w:rPr>
        <w:t>&lt;</w:t>
      </w:r>
      <w:r>
        <w:rPr>
          <w:sz w:val="22"/>
          <w:highlight w:val="yellow"/>
        </w:rPr>
        <w:t xml:space="preserve">Especifíquense las competencias del </w:t>
      </w:r>
      <w:r w:rsidR="002C30FD">
        <w:rPr>
          <w:sz w:val="22"/>
          <w:highlight w:val="yellow"/>
        </w:rPr>
        <w:t>supervisor</w:t>
      </w:r>
      <w:r>
        <w:rPr>
          <w:sz w:val="22"/>
          <w:highlight w:val="yellow"/>
        </w:rPr>
        <w:t xml:space="preserve"> del proyecto y de su representante</w:t>
      </w:r>
      <w:r>
        <w:rPr>
          <w:sz w:val="22"/>
        </w:rPr>
        <w:t>.&gt;</w:t>
      </w:r>
    </w:p>
    <w:p w:rsidR="001050EE" w:rsidRPr="003D764D" w:rsidRDefault="001050EE" w:rsidP="00A12DBD">
      <w:pPr>
        <w:spacing w:before="120" w:after="120"/>
        <w:ind w:left="1134" w:hanging="567"/>
        <w:jc w:val="both"/>
        <w:rPr>
          <w:bCs/>
          <w:sz w:val="22"/>
          <w:szCs w:val="22"/>
        </w:rPr>
      </w:pPr>
      <w:r>
        <w:rPr>
          <w:sz w:val="22"/>
        </w:rPr>
        <w:lastRenderedPageBreak/>
        <w:t>5.4</w:t>
      </w:r>
      <w:r>
        <w:tab/>
      </w:r>
      <w:r>
        <w:rPr>
          <w:sz w:val="22"/>
        </w:rPr>
        <w:t>&lt;</w:t>
      </w:r>
      <w:r>
        <w:rPr>
          <w:sz w:val="22"/>
          <w:highlight w:val="yellow"/>
        </w:rPr>
        <w:t>Especifíquense las modalidades prácticas para las órdenes administrativas.&gt;</w:t>
      </w:r>
    </w:p>
    <w:p w:rsidR="001050EE" w:rsidRPr="003D764D" w:rsidRDefault="008B08DF" w:rsidP="003D764D">
      <w:pPr>
        <w:spacing w:before="240"/>
        <w:ind w:left="1134" w:hanging="1134"/>
        <w:jc w:val="both"/>
        <w:rPr>
          <w:b/>
          <w:szCs w:val="24"/>
        </w:rPr>
      </w:pPr>
      <w:r w:rsidRPr="007E2713">
        <w:rPr>
          <w:b/>
          <w:szCs w:val="24"/>
          <w:highlight w:val="lightGray"/>
        </w:rPr>
        <w:t>[</w:t>
      </w:r>
      <w:r w:rsidR="001050EE" w:rsidRPr="008B08DF">
        <w:rPr>
          <w:b/>
          <w:highlight w:val="lightGray"/>
        </w:rPr>
        <w:t>Cláusula 7</w:t>
      </w:r>
      <w:r w:rsidR="001050EE" w:rsidRPr="008B08DF">
        <w:rPr>
          <w:highlight w:val="lightGray"/>
        </w:rPr>
        <w:tab/>
      </w:r>
      <w:r w:rsidR="001050EE" w:rsidRPr="008B08DF">
        <w:rPr>
          <w:b/>
          <w:highlight w:val="lightGray"/>
        </w:rPr>
        <w:t>Subcontratación</w:t>
      </w:r>
    </w:p>
    <w:p w:rsidR="001050EE" w:rsidRPr="00E725FE" w:rsidRDefault="001050EE" w:rsidP="00C429FC">
      <w:pPr>
        <w:spacing w:before="120" w:after="120"/>
        <w:ind w:left="567"/>
        <w:rPr>
          <w:sz w:val="22"/>
          <w:szCs w:val="22"/>
        </w:rPr>
      </w:pPr>
      <w:r>
        <w:rPr>
          <w:sz w:val="22"/>
          <w:highlight w:val="yellow"/>
        </w:rPr>
        <w:t>Solo para el FED:</w:t>
      </w:r>
    </w:p>
    <w:p w:rsidR="001050EE" w:rsidRPr="003D764D" w:rsidRDefault="001050EE" w:rsidP="003D764D">
      <w:pPr>
        <w:widowControl w:val="0"/>
        <w:shd w:val="clear" w:color="auto" w:fill="FFFFFF"/>
        <w:autoSpaceDE w:val="0"/>
        <w:autoSpaceDN w:val="0"/>
        <w:adjustRightInd w:val="0"/>
        <w:spacing w:before="120" w:after="120" w:line="209" w:lineRule="exact"/>
        <w:ind w:left="1134" w:right="6" w:hanging="567"/>
        <w:jc w:val="both"/>
        <w:rPr>
          <w:color w:val="000000"/>
          <w:sz w:val="22"/>
          <w:szCs w:val="22"/>
        </w:rPr>
      </w:pPr>
      <w:r>
        <w:rPr>
          <w:color w:val="000000"/>
          <w:sz w:val="22"/>
        </w:rPr>
        <w:t>7.3</w:t>
      </w:r>
      <w:r>
        <w:tab/>
      </w:r>
      <w:r>
        <w:rPr>
          <w:color w:val="000000"/>
          <w:sz w:val="22"/>
          <w:highlight w:val="lightGray"/>
        </w:rPr>
        <w:t xml:space="preserve">Al seleccionar a los subcontratistas, el </w:t>
      </w:r>
      <w:r w:rsidR="002C30FD">
        <w:rPr>
          <w:color w:val="000000"/>
          <w:sz w:val="22"/>
          <w:highlight w:val="lightGray"/>
        </w:rPr>
        <w:t>contratista</w:t>
      </w:r>
      <w:r>
        <w:rPr>
          <w:color w:val="000000"/>
          <w:sz w:val="22"/>
          <w:highlight w:val="lightGray"/>
        </w:rPr>
        <w:t xml:space="preserve"> dará preferencia a las personas físicas, sociedades o empresas de los Estados ACP capaces de ejecutar las tareas en condiciones similares.]</w:t>
      </w:r>
    </w:p>
    <w:p w:rsidR="001050EE" w:rsidRPr="003D764D" w:rsidRDefault="001050EE" w:rsidP="003D764D">
      <w:pPr>
        <w:spacing w:before="240"/>
        <w:ind w:left="1134" w:hanging="1134"/>
        <w:jc w:val="both"/>
        <w:rPr>
          <w:b/>
          <w:szCs w:val="24"/>
        </w:rPr>
      </w:pPr>
      <w:bookmarkStart w:id="13" w:name="_Toc76894419"/>
      <w:r>
        <w:rPr>
          <w:b/>
        </w:rPr>
        <w:t>Cláusula 8</w:t>
      </w:r>
      <w:r>
        <w:tab/>
      </w:r>
      <w:r w:rsidR="00C057D3">
        <w:tab/>
      </w:r>
      <w:r>
        <w:rPr>
          <w:b/>
        </w:rPr>
        <w:t xml:space="preserve">Documentos </w:t>
      </w:r>
      <w:bookmarkEnd w:id="13"/>
      <w:r w:rsidR="002C30FD">
        <w:rPr>
          <w:b/>
        </w:rPr>
        <w:t>que deben presentarse</w:t>
      </w:r>
    </w:p>
    <w:p w:rsidR="001050EE" w:rsidRPr="003D764D" w:rsidRDefault="009E24C9" w:rsidP="003D764D">
      <w:pPr>
        <w:spacing w:before="120" w:after="120"/>
        <w:ind w:left="1134" w:hanging="567"/>
        <w:jc w:val="both"/>
        <w:rPr>
          <w:sz w:val="22"/>
          <w:szCs w:val="22"/>
        </w:rPr>
      </w:pPr>
      <w:r>
        <w:rPr>
          <w:sz w:val="22"/>
        </w:rPr>
        <w:t>8.1</w:t>
      </w:r>
      <w:r>
        <w:tab/>
      </w:r>
      <w:r>
        <w:rPr>
          <w:sz w:val="22"/>
        </w:rPr>
        <w:t>&lt;</w:t>
      </w:r>
      <w:r>
        <w:rPr>
          <w:sz w:val="22"/>
          <w:highlight w:val="yellow"/>
        </w:rPr>
        <w:t>Precísense los documentos que deberán facilitar</w:t>
      </w:r>
      <w:r w:rsidR="002C30FD">
        <w:rPr>
          <w:sz w:val="22"/>
          <w:highlight w:val="yellow"/>
        </w:rPr>
        <w:t xml:space="preserve"> </w:t>
      </w:r>
      <w:r>
        <w:rPr>
          <w:sz w:val="22"/>
          <w:highlight w:val="yellow"/>
        </w:rPr>
        <w:t xml:space="preserve">al </w:t>
      </w:r>
      <w:r w:rsidR="002C30FD">
        <w:rPr>
          <w:sz w:val="22"/>
          <w:highlight w:val="yellow"/>
        </w:rPr>
        <w:t>contratista</w:t>
      </w:r>
      <w:r>
        <w:rPr>
          <w:sz w:val="22"/>
          <w:highlight w:val="yellow"/>
        </w:rPr>
        <w:t xml:space="preserve"> el Órgano de Contratación y el </w:t>
      </w:r>
      <w:r w:rsidR="002C30FD">
        <w:rPr>
          <w:sz w:val="22"/>
          <w:highlight w:val="yellow"/>
        </w:rPr>
        <w:t>supervisor</w:t>
      </w:r>
      <w:r>
        <w:rPr>
          <w:sz w:val="22"/>
          <w:highlight w:val="yellow"/>
        </w:rPr>
        <w:t xml:space="preserve"> y el procedimiento utilizado, en su caso, para entregar estos documentos.&gt;</w:t>
      </w:r>
      <w:r>
        <w:rPr>
          <w:sz w:val="22"/>
        </w:rPr>
        <w:t xml:space="preserve"> </w:t>
      </w:r>
    </w:p>
    <w:p w:rsidR="001050EE" w:rsidRPr="003D764D" w:rsidRDefault="001050EE" w:rsidP="003D764D">
      <w:pPr>
        <w:spacing w:before="240"/>
        <w:ind w:left="1134" w:hanging="1134"/>
        <w:jc w:val="both"/>
        <w:rPr>
          <w:b/>
          <w:szCs w:val="24"/>
        </w:rPr>
      </w:pPr>
      <w:bookmarkStart w:id="14" w:name="_Toc76894420"/>
      <w:r>
        <w:rPr>
          <w:b/>
        </w:rPr>
        <w:t>Cláusula 9</w:t>
      </w:r>
      <w:r>
        <w:tab/>
      </w:r>
      <w:r w:rsidR="00C057D3">
        <w:tab/>
      </w:r>
      <w:r>
        <w:rPr>
          <w:b/>
        </w:rPr>
        <w:t>Acceso al emplazamiento</w:t>
      </w:r>
      <w:bookmarkEnd w:id="14"/>
    </w:p>
    <w:p w:rsidR="001050EE" w:rsidRPr="003D764D" w:rsidRDefault="001050EE" w:rsidP="003D764D">
      <w:pPr>
        <w:spacing w:before="120" w:after="120"/>
        <w:ind w:left="1134" w:hanging="567"/>
        <w:jc w:val="both"/>
        <w:rPr>
          <w:sz w:val="22"/>
          <w:szCs w:val="22"/>
        </w:rPr>
      </w:pPr>
      <w:r>
        <w:rPr>
          <w:sz w:val="22"/>
        </w:rPr>
        <w:t>9.1</w:t>
      </w:r>
      <w:r>
        <w:tab/>
      </w:r>
      <w:r>
        <w:rPr>
          <w:sz w:val="22"/>
        </w:rPr>
        <w:t xml:space="preserve">Se recuerda al </w:t>
      </w:r>
      <w:r w:rsidR="002C30FD">
        <w:rPr>
          <w:sz w:val="22"/>
        </w:rPr>
        <w:t>contratista</w:t>
      </w:r>
      <w:r>
        <w:rPr>
          <w:sz w:val="22"/>
        </w:rPr>
        <w:t xml:space="preserve"> que hay un Jefe de Delegación de la Comisión Europea en el Estado del Órgano de Contratación. El </w:t>
      </w:r>
      <w:r w:rsidR="002C30FD">
        <w:rPr>
          <w:sz w:val="22"/>
        </w:rPr>
        <w:t>contratista</w:t>
      </w:r>
      <w:r>
        <w:rPr>
          <w:sz w:val="22"/>
        </w:rPr>
        <w:t xml:space="preserve"> está obligado a facilitar al Jefe de Delegación libre acceso a sus emplazamientos, fábricas, talleres, etc., y en general a asistir al Jefe de Delegación, así como al </w:t>
      </w:r>
      <w:r w:rsidR="002C30FD">
        <w:rPr>
          <w:sz w:val="22"/>
        </w:rPr>
        <w:t>supervisor</w:t>
      </w:r>
      <w:r>
        <w:rPr>
          <w:sz w:val="22"/>
        </w:rPr>
        <w:t xml:space="preserve"> del proyecto, en el ejercicio de sus funciones. Las mismas disposiciones son también aplicables a los representantes designados por el Jefe de Delegación.</w:t>
      </w:r>
    </w:p>
    <w:p w:rsidR="001050EE" w:rsidRPr="003D764D" w:rsidRDefault="001050EE" w:rsidP="003D764D">
      <w:pPr>
        <w:spacing w:after="240"/>
        <w:ind w:left="1134"/>
        <w:jc w:val="both"/>
        <w:rPr>
          <w:sz w:val="22"/>
          <w:szCs w:val="22"/>
        </w:rPr>
      </w:pPr>
      <w:r>
        <w:rPr>
          <w:sz w:val="22"/>
        </w:rPr>
        <w:t xml:space="preserve">Toda la correspondencia entre el </w:t>
      </w:r>
      <w:r w:rsidR="002C30FD">
        <w:rPr>
          <w:sz w:val="22"/>
        </w:rPr>
        <w:t>contratista</w:t>
      </w:r>
      <w:r>
        <w:rPr>
          <w:sz w:val="22"/>
        </w:rPr>
        <w:t xml:space="preserve"> y el Órgano de Contratación o el </w:t>
      </w:r>
      <w:r w:rsidR="002C30FD">
        <w:rPr>
          <w:sz w:val="22"/>
        </w:rPr>
        <w:t>supervisor</w:t>
      </w:r>
      <w:r>
        <w:rPr>
          <w:sz w:val="22"/>
        </w:rPr>
        <w:t xml:space="preserve"> del proyecto deberá ser copiada y enviada, a efectos informativos, al Jefe de la Delegación de la Comisión Europea a la siguiente dirección oficial:</w:t>
      </w:r>
    </w:p>
    <w:p w:rsidR="001A72CD" w:rsidRDefault="001050EE" w:rsidP="00F2670B">
      <w:pPr>
        <w:spacing w:after="120"/>
        <w:ind w:left="1134" w:firstLine="28"/>
        <w:jc w:val="both"/>
        <w:rPr>
          <w:sz w:val="22"/>
        </w:rPr>
      </w:pPr>
      <w:r>
        <w:rPr>
          <w:sz w:val="22"/>
        </w:rPr>
        <w:t>&lt;</w:t>
      </w:r>
      <w:r>
        <w:rPr>
          <w:sz w:val="22"/>
          <w:highlight w:val="yellow"/>
        </w:rPr>
        <w:t>Indíquese la dirección oficial</w:t>
      </w:r>
      <w:r>
        <w:rPr>
          <w:sz w:val="22"/>
        </w:rPr>
        <w:t>.&gt;</w:t>
      </w:r>
    </w:p>
    <w:p w:rsidR="001A72CD" w:rsidRPr="00395502" w:rsidRDefault="001A72CD" w:rsidP="00F2670B">
      <w:pPr>
        <w:tabs>
          <w:tab w:val="left" w:pos="1134"/>
        </w:tabs>
        <w:spacing w:before="240" w:after="120"/>
        <w:jc w:val="both"/>
        <w:rPr>
          <w:b/>
          <w:bCs/>
          <w:szCs w:val="24"/>
        </w:rPr>
      </w:pPr>
      <w:r w:rsidRPr="00395502">
        <w:rPr>
          <w:b/>
          <w:szCs w:val="24"/>
        </w:rPr>
        <w:t>Cláusula 12</w:t>
      </w:r>
      <w:r w:rsidR="00395502" w:rsidRPr="00395502">
        <w:rPr>
          <w:szCs w:val="24"/>
        </w:rPr>
        <w:t xml:space="preserve"> </w:t>
      </w:r>
      <w:r w:rsidR="00C057D3">
        <w:rPr>
          <w:szCs w:val="24"/>
        </w:rPr>
        <w:tab/>
      </w:r>
      <w:r w:rsidRPr="00395502">
        <w:rPr>
          <w:b/>
          <w:szCs w:val="24"/>
        </w:rPr>
        <w:t>Obligaciones generales</w:t>
      </w:r>
    </w:p>
    <w:p w:rsidR="001A72CD" w:rsidRPr="00E725FE" w:rsidRDefault="001A72CD" w:rsidP="0089009D">
      <w:pPr>
        <w:spacing w:after="120"/>
        <w:ind w:left="1276" w:hanging="556"/>
        <w:jc w:val="both"/>
        <w:rPr>
          <w:b/>
          <w:bCs/>
          <w:sz w:val="22"/>
          <w:szCs w:val="22"/>
        </w:rPr>
      </w:pPr>
      <w:r>
        <w:rPr>
          <w:sz w:val="22"/>
        </w:rPr>
        <w:t>12.9</w:t>
      </w:r>
      <w:r>
        <w:tab/>
      </w:r>
      <w:r>
        <w:rPr>
          <w:sz w:val="22"/>
          <w:highlight w:val="yellow"/>
        </w:rPr>
        <w:t xml:space="preserve">&lt;Precísense las actividades específicas que deberá poner en marcha el </w:t>
      </w:r>
      <w:r w:rsidR="002C30FD">
        <w:rPr>
          <w:sz w:val="22"/>
          <w:highlight w:val="yellow"/>
        </w:rPr>
        <w:t>contratista</w:t>
      </w:r>
      <w:r>
        <w:rPr>
          <w:sz w:val="22"/>
          <w:highlight w:val="yellow"/>
        </w:rPr>
        <w:t xml:space="preserve"> para cumplir con su obligación mínima de visibilidad. Estas actividades deben cumplir las normas establecidas en el Manual de Comunicación y Visibilidad para las acciones exteriores de la UE publicado por la Comisión Europea.&gt;</w:t>
      </w:r>
    </w:p>
    <w:p w:rsidR="001050EE" w:rsidRPr="003D764D" w:rsidRDefault="00C429FC" w:rsidP="003D764D">
      <w:pPr>
        <w:spacing w:before="240"/>
        <w:ind w:left="1276" w:hanging="1276"/>
        <w:jc w:val="both"/>
        <w:rPr>
          <w:b/>
          <w:szCs w:val="24"/>
        </w:rPr>
      </w:pPr>
      <w:bookmarkStart w:id="15" w:name="_Toc76894421"/>
      <w:r>
        <w:rPr>
          <w:b/>
        </w:rPr>
        <w:t xml:space="preserve"> </w:t>
      </w:r>
      <w:r w:rsidR="001050EE">
        <w:rPr>
          <w:b/>
        </w:rPr>
        <w:t>Cláusula 15</w:t>
      </w:r>
      <w:r w:rsidR="001050EE">
        <w:tab/>
      </w:r>
      <w:r w:rsidR="00395502">
        <w:t xml:space="preserve"> </w:t>
      </w:r>
      <w:r w:rsidR="00C057D3">
        <w:tab/>
      </w:r>
      <w:r w:rsidR="001050EE">
        <w:rPr>
          <w:b/>
        </w:rPr>
        <w:t>Garantía de buen fin</w:t>
      </w:r>
      <w:bookmarkEnd w:id="15"/>
    </w:p>
    <w:p w:rsidR="008B08DF" w:rsidRDefault="001050EE" w:rsidP="003D764D">
      <w:pPr>
        <w:spacing w:before="120" w:after="120"/>
        <w:ind w:left="1276" w:hanging="709"/>
        <w:jc w:val="both"/>
        <w:rPr>
          <w:sz w:val="22"/>
        </w:rPr>
      </w:pPr>
      <w:r>
        <w:rPr>
          <w:sz w:val="22"/>
        </w:rPr>
        <w:t>15.1</w:t>
      </w:r>
      <w:r>
        <w:tab/>
      </w:r>
      <w:r>
        <w:rPr>
          <w:sz w:val="22"/>
        </w:rPr>
        <w:t>El importe de la garantía de buen fin será &lt;</w:t>
      </w:r>
      <w:r>
        <w:rPr>
          <w:sz w:val="22"/>
          <w:highlight w:val="yellow"/>
        </w:rPr>
        <w:t>especifíquese el porcentaje comprendido entre el 5 % y el 10 %</w:t>
      </w:r>
      <w:r>
        <w:rPr>
          <w:sz w:val="22"/>
        </w:rPr>
        <w:t xml:space="preserve">&gt; del importe del </w:t>
      </w:r>
      <w:r w:rsidR="00B42C3E">
        <w:rPr>
          <w:sz w:val="22"/>
        </w:rPr>
        <w:t>c</w:t>
      </w:r>
      <w:r>
        <w:rPr>
          <w:sz w:val="22"/>
        </w:rPr>
        <w:t>ontrato y sus posibles cláusulas adicionales.</w:t>
      </w:r>
    </w:p>
    <w:p w:rsidR="001050EE" w:rsidRPr="003D764D" w:rsidRDefault="001050EE" w:rsidP="008B08DF">
      <w:pPr>
        <w:spacing w:before="120" w:after="120"/>
        <w:ind w:left="1276"/>
        <w:jc w:val="both"/>
        <w:rPr>
          <w:sz w:val="22"/>
          <w:szCs w:val="22"/>
        </w:rPr>
      </w:pPr>
      <w:r>
        <w:rPr>
          <w:sz w:val="22"/>
          <w:highlight w:val="yellow"/>
        </w:rPr>
        <w:t>Para importes iguales o inferiores a 345 000</w:t>
      </w:r>
      <w:r w:rsidR="005D6248">
        <w:rPr>
          <w:sz w:val="22"/>
          <w:highlight w:val="yellow"/>
        </w:rPr>
        <w:t xml:space="preserve"> </w:t>
      </w:r>
      <w:r>
        <w:rPr>
          <w:sz w:val="22"/>
          <w:highlight w:val="yellow"/>
        </w:rPr>
        <w:t xml:space="preserve">EUR y sobre la base de criterios objetivos, como el tipo y el valor del </w:t>
      </w:r>
      <w:r w:rsidR="00B42C3E">
        <w:rPr>
          <w:sz w:val="22"/>
          <w:highlight w:val="yellow"/>
        </w:rPr>
        <w:t>contrato</w:t>
      </w:r>
      <w:r>
        <w:rPr>
          <w:sz w:val="22"/>
          <w:highlight w:val="yellow"/>
        </w:rPr>
        <w:t xml:space="preserve">, </w:t>
      </w:r>
      <w:r w:rsidR="008B08DF">
        <w:rPr>
          <w:sz w:val="22"/>
          <w:highlight w:val="yellow"/>
        </w:rPr>
        <w:t>el Órgano de Contratación</w:t>
      </w:r>
      <w:r>
        <w:rPr>
          <w:sz w:val="22"/>
          <w:highlight w:val="yellow"/>
        </w:rPr>
        <w:t xml:space="preserve"> podrá decidir no exigir dicha garantía.</w:t>
      </w:r>
      <w:r>
        <w:rPr>
          <w:sz w:val="22"/>
        </w:rPr>
        <w:t>]</w:t>
      </w:r>
    </w:p>
    <w:p w:rsidR="00E11172" w:rsidRPr="00E11172" w:rsidRDefault="00E11172" w:rsidP="00021EB3">
      <w:pPr>
        <w:spacing w:after="240"/>
        <w:ind w:left="567"/>
        <w:jc w:val="both"/>
        <w:rPr>
          <w:sz w:val="22"/>
          <w:szCs w:val="22"/>
        </w:rPr>
      </w:pPr>
      <w:r>
        <w:rPr>
          <w:sz w:val="22"/>
          <w:highlight w:val="yellow"/>
        </w:rPr>
        <w:t xml:space="preserve">[Para algunos </w:t>
      </w:r>
      <w:r w:rsidR="00B42C3E">
        <w:rPr>
          <w:sz w:val="22"/>
          <w:highlight w:val="yellow"/>
        </w:rPr>
        <w:t>contrato</w:t>
      </w:r>
      <w:r>
        <w:rPr>
          <w:sz w:val="22"/>
          <w:highlight w:val="yellow"/>
        </w:rPr>
        <w:t xml:space="preserve">s específicos y sobre la base de criterios objetivos como el tipo, la duración y el importe del </w:t>
      </w:r>
      <w:r w:rsidR="00B42C3E">
        <w:rPr>
          <w:sz w:val="22"/>
          <w:highlight w:val="yellow"/>
        </w:rPr>
        <w:t>contrato</w:t>
      </w:r>
      <w:r>
        <w:rPr>
          <w:sz w:val="22"/>
          <w:highlight w:val="yellow"/>
        </w:rPr>
        <w:t xml:space="preserve">, puede añadirse </w:t>
      </w:r>
      <w:r w:rsidR="00B42C3E">
        <w:rPr>
          <w:sz w:val="22"/>
          <w:highlight w:val="yellow"/>
        </w:rPr>
        <w:t>la siguiente cláusula</w:t>
      </w:r>
      <w:r>
        <w:rPr>
          <w:sz w:val="22"/>
          <w:highlight w:val="yellow"/>
        </w:rPr>
        <w:t>:</w:t>
      </w:r>
      <w:r>
        <w:rPr>
          <w:sz w:val="22"/>
        </w:rPr>
        <w:t xml:space="preserve"> </w:t>
      </w:r>
    </w:p>
    <w:p w:rsidR="00E11172" w:rsidRPr="00E725FE" w:rsidRDefault="00E11172" w:rsidP="00021EB3">
      <w:pPr>
        <w:spacing w:after="120"/>
        <w:ind w:left="1276" w:hanging="709"/>
        <w:jc w:val="both"/>
        <w:rPr>
          <w:sz w:val="22"/>
          <w:szCs w:val="22"/>
        </w:rPr>
      </w:pPr>
      <w:r>
        <w:rPr>
          <w:sz w:val="22"/>
        </w:rPr>
        <w:t>15.8</w:t>
      </w:r>
      <w:r>
        <w:tab/>
      </w:r>
      <w:r w:rsidR="00EE6E3C">
        <w:rPr>
          <w:sz w:val="22"/>
          <w:highlight w:val="lightGray"/>
        </w:rPr>
        <w:t>E</w:t>
      </w:r>
      <w:r>
        <w:rPr>
          <w:sz w:val="22"/>
          <w:highlight w:val="lightGray"/>
        </w:rPr>
        <w:t xml:space="preserve">n un plazo de </w:t>
      </w:r>
      <w:r w:rsidR="008B08DF">
        <w:rPr>
          <w:sz w:val="22"/>
          <w:highlight w:val="lightGray"/>
        </w:rPr>
        <w:t>60</w:t>
      </w:r>
      <w:r>
        <w:rPr>
          <w:sz w:val="22"/>
          <w:highlight w:val="lightGray"/>
        </w:rPr>
        <w:t xml:space="preserve"> días tras la entrega del certificado de recepción provisional con arreglo a la cláusula 60.1 y la finalización de las obras pendientes o las reservas, podrá entregarse &lt;indíquese el porcentaje entre el 0 % y el 100 %&gt; del importe de la garantía de buen fin.</w:t>
      </w:r>
      <w:r w:rsidR="0071615E" w:rsidRPr="0071615E">
        <w:rPr>
          <w:sz w:val="22"/>
          <w:highlight w:val="lightGray"/>
        </w:rPr>
        <w:t xml:space="preserve"> ]</w:t>
      </w:r>
    </w:p>
    <w:p w:rsidR="001050EE" w:rsidRPr="00021EB3" w:rsidRDefault="001050EE" w:rsidP="00021EB3">
      <w:pPr>
        <w:spacing w:before="240"/>
        <w:ind w:left="1276" w:hanging="1276"/>
        <w:jc w:val="both"/>
        <w:rPr>
          <w:b/>
          <w:szCs w:val="24"/>
        </w:rPr>
      </w:pPr>
      <w:bookmarkStart w:id="16" w:name="_Toc76894422"/>
      <w:r>
        <w:rPr>
          <w:b/>
        </w:rPr>
        <w:t>Cláusula 16</w:t>
      </w:r>
      <w:r>
        <w:tab/>
      </w:r>
      <w:r w:rsidR="00C057D3">
        <w:tab/>
      </w:r>
      <w:r>
        <w:rPr>
          <w:b/>
        </w:rPr>
        <w:t>Responsabilidad y seguro</w:t>
      </w:r>
      <w:bookmarkEnd w:id="16"/>
    </w:p>
    <w:p w:rsidR="00C261B3" w:rsidRPr="00F2670B" w:rsidRDefault="00C261B3" w:rsidP="00F2670B">
      <w:pPr>
        <w:tabs>
          <w:tab w:val="left" w:pos="1276"/>
        </w:tabs>
        <w:spacing w:before="240" w:after="120"/>
        <w:ind w:left="1276" w:hanging="992"/>
        <w:jc w:val="both"/>
        <w:rPr>
          <w:sz w:val="22"/>
          <w:szCs w:val="22"/>
        </w:rPr>
      </w:pPr>
      <w:r>
        <w:rPr>
          <w:sz w:val="22"/>
        </w:rPr>
        <w:t>16.1 a)</w:t>
      </w:r>
      <w:r>
        <w:tab/>
      </w:r>
      <w:r>
        <w:rPr>
          <w:sz w:val="22"/>
        </w:rPr>
        <w:t>&lt;</w:t>
      </w:r>
      <w:r>
        <w:rPr>
          <w:sz w:val="22"/>
          <w:highlight w:val="yellow"/>
        </w:rPr>
        <w:t>Indíquense los requisitos específicos</w:t>
      </w:r>
      <w:r w:rsidR="008B08DF">
        <w:rPr>
          <w:sz w:val="22"/>
          <w:highlight w:val="yellow"/>
        </w:rPr>
        <w:t>, si los hubiera,</w:t>
      </w:r>
      <w:r>
        <w:rPr>
          <w:sz w:val="22"/>
          <w:highlight w:val="yellow"/>
        </w:rPr>
        <w:t xml:space="preserve"> de responsabilidad por daños a las obras&gt;</w:t>
      </w:r>
      <w:r w:rsidR="00186095">
        <w:rPr>
          <w:sz w:val="22"/>
          <w:highlight w:val="yellow"/>
        </w:rPr>
        <w:t xml:space="preserve"> </w:t>
      </w:r>
      <w:r>
        <w:rPr>
          <w:sz w:val="22"/>
          <w:highlight w:val="yellow"/>
        </w:rPr>
        <w:t xml:space="preserve">Si considera necesario establecer otro límite distinto al estipulado en las Condiciones Generales, añada el siguiente </w:t>
      </w:r>
      <w:r w:rsidR="00E63ABD">
        <w:rPr>
          <w:sz w:val="22"/>
          <w:highlight w:val="yellow"/>
        </w:rPr>
        <w:t>texto</w:t>
      </w:r>
      <w:r w:rsidR="00E63ABD">
        <w:rPr>
          <w:sz w:val="22"/>
        </w:rPr>
        <w:t>:</w:t>
      </w:r>
    </w:p>
    <w:p w:rsidR="00C261B3" w:rsidRPr="00F2670B" w:rsidRDefault="00EF22D0" w:rsidP="00F2670B">
      <w:pPr>
        <w:tabs>
          <w:tab w:val="left" w:pos="1134"/>
        </w:tabs>
        <w:spacing w:before="240" w:after="120"/>
        <w:ind w:left="1276"/>
        <w:jc w:val="both"/>
        <w:rPr>
          <w:sz w:val="22"/>
          <w:szCs w:val="22"/>
        </w:rPr>
      </w:pPr>
      <w:r>
        <w:rPr>
          <w:sz w:val="22"/>
        </w:rPr>
        <w:lastRenderedPageBreak/>
        <w:t>[</w:t>
      </w:r>
      <w:r w:rsidR="00C261B3">
        <w:rPr>
          <w:sz w:val="22"/>
        </w:rPr>
        <w:t>«</w:t>
      </w:r>
      <w:r w:rsidR="00C261B3">
        <w:rPr>
          <w:sz w:val="22"/>
          <w:highlight w:val="lightGray"/>
        </w:rPr>
        <w:t xml:space="preserve">No obstante lo dispuesto en la cláusula 16.1, a), </w:t>
      </w:r>
      <w:r w:rsidR="00B42C3E">
        <w:rPr>
          <w:sz w:val="22"/>
          <w:highlight w:val="lightGray"/>
        </w:rPr>
        <w:t>párrafo segundo</w:t>
      </w:r>
      <w:r w:rsidR="00C261B3">
        <w:rPr>
          <w:sz w:val="22"/>
          <w:highlight w:val="lightGray"/>
        </w:rPr>
        <w:t xml:space="preserve">, de las Condiciones Generales, la indemnización por daños a las obras resultante de la responsabilidad del </w:t>
      </w:r>
      <w:r w:rsidR="002C30FD">
        <w:rPr>
          <w:sz w:val="22"/>
          <w:highlight w:val="lightGray"/>
        </w:rPr>
        <w:t>contratista</w:t>
      </w:r>
      <w:r w:rsidR="00C261B3">
        <w:rPr>
          <w:sz w:val="22"/>
          <w:highlight w:val="lightGray"/>
        </w:rPr>
        <w:t xml:space="preserve"> en relación con el Órgano de Contratación se limita a un importe igual a</w:t>
      </w:r>
      <w:r w:rsidR="00C261B3">
        <w:rPr>
          <w:sz w:val="22"/>
        </w:rPr>
        <w:t xml:space="preserve"> </w:t>
      </w:r>
      <w:r>
        <w:rPr>
          <w:sz w:val="22"/>
        </w:rPr>
        <w:t>&lt;</w:t>
      </w:r>
      <w:r w:rsidR="00C261B3">
        <w:rPr>
          <w:sz w:val="22"/>
          <w:highlight w:val="yellow"/>
        </w:rPr>
        <w:t xml:space="preserve">rellenar con </w:t>
      </w:r>
      <w:r w:rsidR="007E5556">
        <w:rPr>
          <w:sz w:val="22"/>
          <w:highlight w:val="yellow"/>
        </w:rPr>
        <w:t>un</w:t>
      </w:r>
      <w:r w:rsidR="00C261B3">
        <w:rPr>
          <w:sz w:val="22"/>
          <w:highlight w:val="yellow"/>
        </w:rPr>
        <w:t xml:space="preserve"> importe </w:t>
      </w:r>
      <w:r w:rsidR="007E5556">
        <w:rPr>
          <w:sz w:val="22"/>
          <w:highlight w:val="yellow"/>
        </w:rPr>
        <w:t>que</w:t>
      </w:r>
      <w:r w:rsidR="00C261B3">
        <w:rPr>
          <w:sz w:val="22"/>
          <w:highlight w:val="yellow"/>
        </w:rPr>
        <w:t xml:space="preserve"> puede ser un múltiplo o una fracción del valor del </w:t>
      </w:r>
      <w:r w:rsidR="00B42C3E">
        <w:rPr>
          <w:sz w:val="22"/>
          <w:highlight w:val="yellow"/>
        </w:rPr>
        <w:t>contrato</w:t>
      </w:r>
      <w:r>
        <w:rPr>
          <w:sz w:val="22"/>
          <w:szCs w:val="22"/>
        </w:rPr>
        <w:t>&gt;</w:t>
      </w:r>
      <w:r w:rsidR="00C261B3">
        <w:rPr>
          <w:sz w:val="22"/>
        </w:rPr>
        <w:t>.»]</w:t>
      </w:r>
    </w:p>
    <w:p w:rsidR="0071615E" w:rsidRPr="0071615E" w:rsidRDefault="00F2670B" w:rsidP="004B660B">
      <w:pPr>
        <w:tabs>
          <w:tab w:val="left" w:pos="1276"/>
        </w:tabs>
        <w:spacing w:before="240" w:after="120"/>
        <w:ind w:left="1276" w:hanging="992"/>
        <w:rPr>
          <w:sz w:val="22"/>
          <w:szCs w:val="22"/>
        </w:rPr>
      </w:pPr>
      <w:r w:rsidRPr="0071615E">
        <w:rPr>
          <w:sz w:val="22"/>
        </w:rPr>
        <w:t>16.1 b)</w:t>
      </w:r>
      <w:r w:rsidRPr="0071615E">
        <w:tab/>
      </w:r>
      <w:r w:rsidR="0071615E" w:rsidRPr="0071615E">
        <w:rPr>
          <w:sz w:val="22"/>
          <w:lang w:val="es-ES_tradnl"/>
        </w:rPr>
        <w:t>&lt;</w:t>
      </w:r>
      <w:r w:rsidR="0071615E" w:rsidRPr="0071615E">
        <w:rPr>
          <w:sz w:val="22"/>
          <w:highlight w:val="yellow"/>
          <w:lang w:val="es-ES_tradnl"/>
        </w:rPr>
        <w:t>Indíquense los requisitos específicos, si los hubiera, de responsabilidad por daños al Órgano de Contratación&gt;</w:t>
      </w:r>
      <w:r w:rsidR="0071615E" w:rsidRPr="0071615E">
        <w:rPr>
          <w:sz w:val="22"/>
          <w:szCs w:val="22"/>
          <w:highlight w:val="yellow"/>
        </w:rPr>
        <w:t xml:space="preserve"> </w:t>
      </w:r>
      <w:r w:rsidR="0071615E" w:rsidRPr="0071615E">
        <w:rPr>
          <w:sz w:val="22"/>
          <w:szCs w:val="22"/>
          <w:highlight w:val="yellow"/>
        </w:rPr>
        <w:br/>
      </w:r>
      <w:r w:rsidR="0071615E">
        <w:rPr>
          <w:sz w:val="22"/>
          <w:highlight w:val="yellow"/>
        </w:rPr>
        <w:t>[Si considera necesario establecer otro límite distinto al estipulado en las Condiciones Generales, añada el siguiente texto</w:t>
      </w:r>
      <w:r w:rsidR="0071615E">
        <w:rPr>
          <w:sz w:val="22"/>
        </w:rPr>
        <w:t>:</w:t>
      </w:r>
    </w:p>
    <w:p w:rsidR="00C261B3" w:rsidRPr="00F2670B" w:rsidRDefault="00C261B3" w:rsidP="00F2670B">
      <w:pPr>
        <w:tabs>
          <w:tab w:val="left" w:pos="1134"/>
        </w:tabs>
        <w:spacing w:before="240" w:after="120"/>
        <w:ind w:left="1276"/>
        <w:jc w:val="both"/>
        <w:rPr>
          <w:sz w:val="22"/>
          <w:szCs w:val="22"/>
        </w:rPr>
      </w:pPr>
      <w:r>
        <w:rPr>
          <w:sz w:val="22"/>
        </w:rPr>
        <w:t>«</w:t>
      </w:r>
      <w:r>
        <w:rPr>
          <w:sz w:val="22"/>
          <w:highlight w:val="lightGray"/>
        </w:rPr>
        <w:t xml:space="preserve">No obstante lo dispuesto en la cláusula 16.1.b), </w:t>
      </w:r>
      <w:r w:rsidR="00B42C3E">
        <w:rPr>
          <w:sz w:val="22"/>
          <w:highlight w:val="lightGray"/>
        </w:rPr>
        <w:t>párrafo segundo</w:t>
      </w:r>
      <w:r>
        <w:rPr>
          <w:sz w:val="22"/>
          <w:highlight w:val="lightGray"/>
        </w:rPr>
        <w:t xml:space="preserve">, de las Condiciones Generales, la indemnización por daños resultante de la responsabilidad del </w:t>
      </w:r>
      <w:r w:rsidR="002C30FD">
        <w:rPr>
          <w:sz w:val="22"/>
          <w:highlight w:val="lightGray"/>
        </w:rPr>
        <w:t>contratista</w:t>
      </w:r>
      <w:r>
        <w:rPr>
          <w:sz w:val="22"/>
          <w:highlight w:val="lightGray"/>
        </w:rPr>
        <w:t xml:space="preserve"> en relación con el Órgano de Contratación se limita a un importe igual a</w:t>
      </w:r>
      <w:r w:rsidR="00EF22D0">
        <w:rPr>
          <w:sz w:val="22"/>
        </w:rPr>
        <w:t xml:space="preserve"> </w:t>
      </w:r>
      <w:r w:rsidR="00EF22D0">
        <w:rPr>
          <w:sz w:val="22"/>
          <w:szCs w:val="22"/>
        </w:rPr>
        <w:t>&lt;</w:t>
      </w:r>
      <w:r w:rsidR="007E5556" w:rsidRPr="007E5556">
        <w:rPr>
          <w:sz w:val="22"/>
          <w:highlight w:val="yellow"/>
        </w:rPr>
        <w:t xml:space="preserve"> </w:t>
      </w:r>
      <w:r w:rsidR="007E5556">
        <w:rPr>
          <w:sz w:val="22"/>
          <w:highlight w:val="yellow"/>
        </w:rPr>
        <w:t xml:space="preserve">rellenar con un importe que puede ser un </w:t>
      </w:r>
      <w:r>
        <w:rPr>
          <w:sz w:val="22"/>
          <w:highlight w:val="yellow"/>
        </w:rPr>
        <w:t xml:space="preserve">múltiplo o una fracción del valor del </w:t>
      </w:r>
      <w:r w:rsidR="00B42C3E">
        <w:rPr>
          <w:sz w:val="22"/>
          <w:highlight w:val="yellow"/>
        </w:rPr>
        <w:t>contrato</w:t>
      </w:r>
      <w:r w:rsidR="00EF22D0">
        <w:rPr>
          <w:sz w:val="22"/>
          <w:szCs w:val="22"/>
        </w:rPr>
        <w:t>&gt;</w:t>
      </w:r>
      <w:r w:rsidR="00B42C3E">
        <w:rPr>
          <w:sz w:val="22"/>
        </w:rPr>
        <w:t>.</w:t>
      </w:r>
      <w:r>
        <w:rPr>
          <w:sz w:val="22"/>
        </w:rPr>
        <w:t>»]</w:t>
      </w:r>
    </w:p>
    <w:p w:rsidR="0071615E" w:rsidRPr="0071615E" w:rsidRDefault="00C261B3" w:rsidP="00F2670B">
      <w:pPr>
        <w:tabs>
          <w:tab w:val="left" w:pos="1276"/>
        </w:tabs>
        <w:spacing w:before="240" w:after="120"/>
        <w:ind w:left="1276" w:hanging="992"/>
        <w:jc w:val="both"/>
        <w:rPr>
          <w:sz w:val="22"/>
          <w:szCs w:val="22"/>
        </w:rPr>
      </w:pPr>
      <w:r w:rsidRPr="0071615E">
        <w:rPr>
          <w:sz w:val="22"/>
        </w:rPr>
        <w:t>16.2</w:t>
      </w:r>
      <w:r w:rsidR="005D6248">
        <w:rPr>
          <w:sz w:val="22"/>
        </w:rPr>
        <w:t xml:space="preserve"> </w:t>
      </w:r>
      <w:r w:rsidRPr="0071615E">
        <w:rPr>
          <w:sz w:val="22"/>
        </w:rPr>
        <w:t>a)</w:t>
      </w:r>
      <w:r w:rsidRPr="0071615E">
        <w:tab/>
      </w:r>
      <w:r w:rsidR="00B42C3E">
        <w:rPr>
          <w:sz w:val="22"/>
          <w:lang w:val="es-ES_tradnl"/>
        </w:rPr>
        <w:t>párrafo</w:t>
      </w:r>
      <w:r w:rsidR="0071615E" w:rsidRPr="0071615E">
        <w:rPr>
          <w:sz w:val="22"/>
          <w:lang w:val="es-ES_tradnl"/>
        </w:rPr>
        <w:t xml:space="preserve"> primero &lt;</w:t>
      </w:r>
      <w:r w:rsidR="0071615E" w:rsidRPr="0071615E">
        <w:rPr>
          <w:sz w:val="22"/>
          <w:highlight w:val="yellow"/>
          <w:lang w:val="es-ES_tradnl"/>
        </w:rPr>
        <w:t>Indíquense los requisitos específicos, si los hubiera, sobre cuándo se debe facilitar la prueba del cumplimiento de un seguro adecuado&gt;</w:t>
      </w:r>
      <w:r w:rsidR="0071615E" w:rsidRPr="0071615E">
        <w:rPr>
          <w:sz w:val="22"/>
          <w:szCs w:val="22"/>
          <w:highlight w:val="yellow"/>
        </w:rPr>
        <w:t xml:space="preserve"> </w:t>
      </w:r>
      <w:r w:rsidR="0071615E">
        <w:rPr>
          <w:sz w:val="22"/>
          <w:highlight w:val="yellow"/>
        </w:rPr>
        <w:t>[Si considera necesario adaptar de otro modo cuándo deben cumplirse los requisitos de la prueba de seguro, añada lo siguiente</w:t>
      </w:r>
      <w:r w:rsidR="0071615E">
        <w:rPr>
          <w:sz w:val="22"/>
        </w:rPr>
        <w:t>:</w:t>
      </w:r>
    </w:p>
    <w:p w:rsidR="00C261B3" w:rsidRPr="00F2670B" w:rsidRDefault="00C261B3" w:rsidP="00F2670B">
      <w:pPr>
        <w:tabs>
          <w:tab w:val="left" w:pos="1134"/>
        </w:tabs>
        <w:spacing w:before="240" w:after="120"/>
        <w:ind w:left="1276"/>
        <w:jc w:val="both"/>
        <w:rPr>
          <w:sz w:val="22"/>
          <w:szCs w:val="22"/>
        </w:rPr>
      </w:pPr>
      <w:r>
        <w:rPr>
          <w:sz w:val="22"/>
          <w:highlight w:val="lightGray"/>
        </w:rPr>
        <w:t xml:space="preserve">No obstante lo dispuesto en la cláusula 16.2.a), </w:t>
      </w:r>
      <w:r w:rsidR="004B660B">
        <w:rPr>
          <w:sz w:val="22"/>
          <w:highlight w:val="lightGray"/>
        </w:rPr>
        <w:t>párrafo</w:t>
      </w:r>
      <w:r>
        <w:rPr>
          <w:sz w:val="22"/>
          <w:highlight w:val="lightGray"/>
        </w:rPr>
        <w:t xml:space="preserve"> primero, de las Condiciones Generales, </w:t>
      </w:r>
      <w:r w:rsidR="00EF22D0" w:rsidRPr="00EF22D0">
        <w:rPr>
          <w:sz w:val="22"/>
          <w:highlight w:val="lightGray"/>
        </w:rPr>
        <w:t>&lt;</w:t>
      </w:r>
      <w:r>
        <w:rPr>
          <w:sz w:val="22"/>
          <w:highlight w:val="yellow"/>
        </w:rPr>
        <w:t>indíquese cuándo</w:t>
      </w:r>
      <w:r w:rsidR="00EF22D0" w:rsidRPr="00EF22D0">
        <w:rPr>
          <w:sz w:val="22"/>
          <w:highlight w:val="lightGray"/>
        </w:rPr>
        <w:t>&gt;</w:t>
      </w:r>
      <w:r>
        <w:rPr>
          <w:sz w:val="22"/>
        </w:rPr>
        <w:t xml:space="preserve">, </w:t>
      </w:r>
      <w:r>
        <w:rPr>
          <w:sz w:val="22"/>
          <w:highlight w:val="lightGray"/>
        </w:rPr>
        <w:t xml:space="preserve">el </w:t>
      </w:r>
      <w:r w:rsidR="002C30FD">
        <w:rPr>
          <w:sz w:val="22"/>
          <w:highlight w:val="lightGray"/>
        </w:rPr>
        <w:t>contratista</w:t>
      </w:r>
      <w:r>
        <w:rPr>
          <w:sz w:val="22"/>
          <w:highlight w:val="lightGray"/>
        </w:rPr>
        <w:t xml:space="preserve"> garantizará que, tanto él, como su personal, sus subcontratistas y cualquier persona de la que sea responsable, están debidamente asegurados con compañías de seguros reconocidas en el mercado internacional, a menos que el Órgano de Contratación haya dado su consentimiento expreso y por escrito en relación a una compañía de seguros específica</w:t>
      </w:r>
      <w:r>
        <w:rPr>
          <w:sz w:val="22"/>
        </w:rPr>
        <w:t>.]</w:t>
      </w:r>
      <w:r>
        <w:t xml:space="preserve"> </w:t>
      </w:r>
    </w:p>
    <w:p w:rsidR="0071615E" w:rsidRDefault="00216A9C" w:rsidP="00F2670B">
      <w:pPr>
        <w:tabs>
          <w:tab w:val="left" w:pos="1276"/>
        </w:tabs>
        <w:spacing w:before="240" w:after="120"/>
        <w:ind w:left="1276" w:hanging="992"/>
        <w:jc w:val="both"/>
        <w:rPr>
          <w:sz w:val="22"/>
          <w:szCs w:val="22"/>
        </w:rPr>
      </w:pPr>
      <w:r>
        <w:rPr>
          <w:sz w:val="22"/>
        </w:rPr>
        <w:t>16.2</w:t>
      </w:r>
      <w:r w:rsidR="005D6248">
        <w:rPr>
          <w:sz w:val="22"/>
        </w:rPr>
        <w:t xml:space="preserve"> </w:t>
      </w:r>
      <w:r>
        <w:rPr>
          <w:sz w:val="22"/>
        </w:rPr>
        <w:t>a)</w:t>
      </w:r>
      <w:r>
        <w:tab/>
      </w:r>
      <w:r w:rsidR="004B660B">
        <w:rPr>
          <w:sz w:val="22"/>
        </w:rPr>
        <w:t>párrafo</w:t>
      </w:r>
      <w:r w:rsidR="0071615E">
        <w:rPr>
          <w:sz w:val="22"/>
        </w:rPr>
        <w:t xml:space="preserve"> segundo&lt;</w:t>
      </w:r>
      <w:r w:rsidR="0071615E">
        <w:rPr>
          <w:sz w:val="22"/>
          <w:highlight w:val="yellow"/>
        </w:rPr>
        <w:t>Indíquense los requisitos específicos, si los hubiera, sobre cuándo deben cumplirse las exigencias de comunicación de las notas de transmisión o los certificados de seguros&gt;</w:t>
      </w:r>
      <w:r w:rsidR="00841438">
        <w:rPr>
          <w:sz w:val="22"/>
          <w:highlight w:val="yellow"/>
        </w:rPr>
        <w:t xml:space="preserve"> </w:t>
      </w:r>
      <w:r w:rsidR="0071615E">
        <w:rPr>
          <w:sz w:val="22"/>
          <w:highlight w:val="yellow"/>
        </w:rPr>
        <w:t>[Si considera necesario adaptar de otro modo cuándo deben comunicarse las notas de transmisión o los certificados de seguros, añada lo siguiente</w:t>
      </w:r>
      <w:r w:rsidR="0071615E">
        <w:rPr>
          <w:sz w:val="22"/>
        </w:rPr>
        <w:t>:</w:t>
      </w:r>
    </w:p>
    <w:p w:rsidR="00C261B3" w:rsidRPr="00F2670B" w:rsidRDefault="00C261B3" w:rsidP="00F2670B">
      <w:pPr>
        <w:tabs>
          <w:tab w:val="left" w:pos="1134"/>
        </w:tabs>
        <w:spacing w:before="240" w:after="120"/>
        <w:ind w:left="1276"/>
        <w:jc w:val="both"/>
        <w:rPr>
          <w:sz w:val="22"/>
          <w:szCs w:val="22"/>
        </w:rPr>
      </w:pPr>
      <w:r>
        <w:rPr>
          <w:sz w:val="22"/>
          <w:highlight w:val="lightGray"/>
        </w:rPr>
        <w:t xml:space="preserve">No obstante lo dispuesto en la cláusula 16.2.a), </w:t>
      </w:r>
      <w:r w:rsidR="004B660B">
        <w:rPr>
          <w:sz w:val="22"/>
          <w:highlight w:val="lightGray"/>
        </w:rPr>
        <w:t>párrafo</w:t>
      </w:r>
      <w:r>
        <w:rPr>
          <w:sz w:val="22"/>
          <w:highlight w:val="lightGray"/>
        </w:rPr>
        <w:t xml:space="preserve"> segundo, de las Condiciones Generales, el </w:t>
      </w:r>
      <w:r w:rsidR="002C30FD">
        <w:rPr>
          <w:sz w:val="22"/>
          <w:highlight w:val="lightGray"/>
        </w:rPr>
        <w:t>contratista</w:t>
      </w:r>
      <w:r>
        <w:rPr>
          <w:sz w:val="22"/>
          <w:highlight w:val="lightGray"/>
        </w:rPr>
        <w:t xml:space="preserve"> deberá facilitar</w:t>
      </w:r>
      <w:r w:rsidRPr="00231CC5">
        <w:rPr>
          <w:sz w:val="22"/>
        </w:rPr>
        <w:t xml:space="preserve"> </w:t>
      </w:r>
      <w:r w:rsidR="00EF22D0" w:rsidRPr="00231CC5">
        <w:rPr>
          <w:sz w:val="22"/>
        </w:rPr>
        <w:t>&lt;</w:t>
      </w:r>
      <w:r>
        <w:rPr>
          <w:sz w:val="22"/>
          <w:highlight w:val="yellow"/>
        </w:rPr>
        <w:t>indíquese cuándo</w:t>
      </w:r>
      <w:r w:rsidR="00EF22D0" w:rsidRPr="00231CC5">
        <w:rPr>
          <w:sz w:val="22"/>
        </w:rPr>
        <w:t>&gt;</w:t>
      </w:r>
      <w:r w:rsidRPr="00231CC5">
        <w:rPr>
          <w:sz w:val="22"/>
        </w:rPr>
        <w:t xml:space="preserve"> </w:t>
      </w:r>
      <w:r>
        <w:rPr>
          <w:sz w:val="22"/>
          <w:highlight w:val="lightGray"/>
        </w:rPr>
        <w:t xml:space="preserve">al Órgano de Contratación y al </w:t>
      </w:r>
      <w:r w:rsidR="002C30FD">
        <w:rPr>
          <w:sz w:val="22"/>
          <w:highlight w:val="lightGray"/>
        </w:rPr>
        <w:t>supervisor</w:t>
      </w:r>
      <w:r>
        <w:rPr>
          <w:sz w:val="22"/>
          <w:highlight w:val="lightGray"/>
        </w:rPr>
        <w:t xml:space="preserve"> todas las notas de transmisión o los certificados de seguros que muestren que se respetan plenamente las obligaciones del </w:t>
      </w:r>
      <w:r w:rsidR="002C30FD">
        <w:rPr>
          <w:sz w:val="22"/>
          <w:highlight w:val="lightGray"/>
        </w:rPr>
        <w:t>contratista</w:t>
      </w:r>
      <w:r>
        <w:rPr>
          <w:sz w:val="22"/>
          <w:highlight w:val="lightGray"/>
        </w:rPr>
        <w:t xml:space="preserve"> en relación con el seguro</w:t>
      </w:r>
      <w:r>
        <w:rPr>
          <w:sz w:val="22"/>
        </w:rPr>
        <w:t>.]</w:t>
      </w:r>
    </w:p>
    <w:p w:rsidR="001050EE" w:rsidRPr="00021EB3" w:rsidRDefault="001050EE" w:rsidP="00021EB3">
      <w:pPr>
        <w:spacing w:before="240"/>
        <w:ind w:left="1276" w:hanging="1276"/>
        <w:jc w:val="both"/>
        <w:rPr>
          <w:b/>
          <w:szCs w:val="24"/>
        </w:rPr>
      </w:pPr>
      <w:bookmarkStart w:id="17" w:name="_Toc76894423"/>
      <w:r>
        <w:rPr>
          <w:b/>
        </w:rPr>
        <w:t>Cláusula 17</w:t>
      </w:r>
      <w:r>
        <w:tab/>
      </w:r>
      <w:r w:rsidR="00C057D3">
        <w:tab/>
      </w:r>
      <w:r>
        <w:rPr>
          <w:b/>
        </w:rPr>
        <w:t>Programa</w:t>
      </w:r>
      <w:bookmarkEnd w:id="17"/>
      <w:r>
        <w:rPr>
          <w:b/>
        </w:rPr>
        <w:t xml:space="preserve"> de </w:t>
      </w:r>
      <w:r w:rsidR="004B660B">
        <w:rPr>
          <w:b/>
        </w:rPr>
        <w:t>ejecución</w:t>
      </w:r>
      <w:r>
        <w:rPr>
          <w:b/>
        </w:rPr>
        <w:t xml:space="preserve"> de las tareas</w:t>
      </w:r>
    </w:p>
    <w:p w:rsidR="001050EE" w:rsidRPr="00E725FE" w:rsidRDefault="001050EE" w:rsidP="00021EB3">
      <w:pPr>
        <w:spacing w:before="120" w:after="120"/>
        <w:jc w:val="both"/>
        <w:rPr>
          <w:sz w:val="22"/>
          <w:szCs w:val="22"/>
        </w:rPr>
      </w:pPr>
      <w:r>
        <w:rPr>
          <w:sz w:val="22"/>
        </w:rPr>
        <w:t>&lt;</w:t>
      </w:r>
      <w:r>
        <w:rPr>
          <w:sz w:val="22"/>
          <w:highlight w:val="yellow"/>
        </w:rPr>
        <w:t>Indíquense los requisitos específicos</w:t>
      </w:r>
      <w:r>
        <w:rPr>
          <w:sz w:val="22"/>
        </w:rPr>
        <w:t>.&gt;</w:t>
      </w:r>
    </w:p>
    <w:p w:rsidR="001050EE" w:rsidRPr="00021EB3" w:rsidRDefault="001050EE" w:rsidP="00E5391D">
      <w:pPr>
        <w:keepNext/>
        <w:keepLines/>
        <w:spacing w:before="240"/>
        <w:ind w:left="1276" w:hanging="1276"/>
        <w:jc w:val="both"/>
        <w:rPr>
          <w:b/>
          <w:szCs w:val="24"/>
        </w:rPr>
      </w:pPr>
      <w:bookmarkStart w:id="18" w:name="_Toc76894425"/>
      <w:r>
        <w:rPr>
          <w:b/>
        </w:rPr>
        <w:t>Cláusula 19</w:t>
      </w:r>
      <w:r>
        <w:tab/>
      </w:r>
      <w:r>
        <w:rPr>
          <w:b/>
        </w:rPr>
        <w:t>Planos</w:t>
      </w:r>
      <w:bookmarkEnd w:id="18"/>
      <w:r>
        <w:rPr>
          <w:b/>
        </w:rPr>
        <w:t xml:space="preserve"> y estudios de ejecución del </w:t>
      </w:r>
      <w:r w:rsidR="002C30FD">
        <w:rPr>
          <w:b/>
        </w:rPr>
        <w:t>contratista</w:t>
      </w:r>
    </w:p>
    <w:p w:rsidR="001050EE" w:rsidRPr="00021EB3" w:rsidRDefault="001050EE" w:rsidP="00A12DBD">
      <w:pPr>
        <w:spacing w:before="120" w:after="120"/>
        <w:ind w:left="1276" w:hanging="709"/>
        <w:jc w:val="both"/>
        <w:rPr>
          <w:sz w:val="22"/>
          <w:szCs w:val="22"/>
        </w:rPr>
      </w:pPr>
      <w:r>
        <w:rPr>
          <w:sz w:val="22"/>
        </w:rPr>
        <w:t>19.1</w:t>
      </w:r>
      <w:r>
        <w:tab/>
      </w:r>
      <w:r>
        <w:rPr>
          <w:sz w:val="22"/>
        </w:rPr>
        <w:t>&lt;</w:t>
      </w:r>
      <w:r>
        <w:rPr>
          <w:sz w:val="22"/>
          <w:highlight w:val="yellow"/>
        </w:rPr>
        <w:t xml:space="preserve">Especifíquense otros requisitos relacionados con </w:t>
      </w:r>
      <w:r w:rsidR="004B660B">
        <w:rPr>
          <w:sz w:val="22"/>
          <w:highlight w:val="yellow"/>
        </w:rPr>
        <w:t xml:space="preserve">los </w:t>
      </w:r>
      <w:r>
        <w:rPr>
          <w:sz w:val="22"/>
          <w:highlight w:val="yellow"/>
        </w:rPr>
        <w:t xml:space="preserve">planos detallados que el </w:t>
      </w:r>
      <w:r w:rsidR="002C30FD">
        <w:rPr>
          <w:sz w:val="22"/>
          <w:highlight w:val="yellow"/>
        </w:rPr>
        <w:t>contratista</w:t>
      </w:r>
      <w:r>
        <w:rPr>
          <w:sz w:val="22"/>
          <w:highlight w:val="yellow"/>
        </w:rPr>
        <w:t xml:space="preserve"> deberá elaborar y someter a la aprobación del </w:t>
      </w:r>
      <w:r w:rsidR="002C30FD">
        <w:rPr>
          <w:sz w:val="22"/>
          <w:highlight w:val="yellow"/>
        </w:rPr>
        <w:t>supervisor</w:t>
      </w:r>
      <w:r>
        <w:rPr>
          <w:sz w:val="22"/>
          <w:highlight w:val="yellow"/>
        </w:rPr>
        <w:t>, los plazos, los procedimientos de aprobación y los requisitos en materia de manuales</w:t>
      </w:r>
      <w:r>
        <w:rPr>
          <w:sz w:val="22"/>
        </w:rPr>
        <w:t>.&gt;</w:t>
      </w:r>
    </w:p>
    <w:p w:rsidR="001050EE" w:rsidRPr="00021EB3" w:rsidRDefault="001050EE" w:rsidP="00A12DBD">
      <w:pPr>
        <w:spacing w:before="120" w:after="120"/>
        <w:ind w:left="1276" w:hanging="709"/>
        <w:jc w:val="both"/>
        <w:rPr>
          <w:sz w:val="22"/>
          <w:szCs w:val="22"/>
        </w:rPr>
      </w:pPr>
      <w:r>
        <w:rPr>
          <w:sz w:val="22"/>
        </w:rPr>
        <w:t>19.7</w:t>
      </w:r>
      <w:r>
        <w:tab/>
      </w:r>
      <w:r>
        <w:rPr>
          <w:sz w:val="22"/>
        </w:rPr>
        <w:t>&lt;</w:t>
      </w:r>
      <w:r>
        <w:rPr>
          <w:sz w:val="22"/>
          <w:highlight w:val="yellow"/>
        </w:rPr>
        <w:t xml:space="preserve">Especifíquese si la lengua de los manuales y planos puede ser distinta de la lengua del </w:t>
      </w:r>
      <w:r w:rsidR="00B42C3E">
        <w:rPr>
          <w:sz w:val="22"/>
          <w:highlight w:val="yellow"/>
        </w:rPr>
        <w:t>contrato</w:t>
      </w:r>
      <w:r>
        <w:rPr>
          <w:sz w:val="22"/>
          <w:highlight w:val="yellow"/>
        </w:rPr>
        <w:t>.&gt;</w:t>
      </w:r>
    </w:p>
    <w:p w:rsidR="001050EE" w:rsidRPr="00021EB3" w:rsidRDefault="001050EE" w:rsidP="00021EB3">
      <w:pPr>
        <w:spacing w:before="240"/>
        <w:ind w:left="1276" w:hanging="1276"/>
        <w:jc w:val="both"/>
        <w:rPr>
          <w:b/>
          <w:szCs w:val="24"/>
        </w:rPr>
      </w:pPr>
      <w:r>
        <w:rPr>
          <w:b/>
        </w:rPr>
        <w:t>Cláusula 20</w:t>
      </w:r>
      <w:r>
        <w:tab/>
      </w:r>
      <w:r w:rsidR="008133C4">
        <w:tab/>
      </w:r>
      <w:r>
        <w:rPr>
          <w:b/>
        </w:rPr>
        <w:t>Suficiencia de los precios de la oferta</w:t>
      </w:r>
    </w:p>
    <w:p w:rsidR="001050EE" w:rsidRPr="00E725FE" w:rsidRDefault="001050EE" w:rsidP="00021EB3">
      <w:pPr>
        <w:spacing w:before="120" w:after="120"/>
        <w:jc w:val="both"/>
        <w:rPr>
          <w:sz w:val="22"/>
          <w:szCs w:val="22"/>
        </w:rPr>
      </w:pPr>
      <w:r>
        <w:rPr>
          <w:sz w:val="22"/>
        </w:rPr>
        <w:t>&lt;</w:t>
      </w:r>
      <w:r>
        <w:rPr>
          <w:sz w:val="22"/>
          <w:highlight w:val="yellow"/>
        </w:rPr>
        <w:t xml:space="preserve">Especifíquese cualquier tipo de disposición adicional en cuanto al alcance de la oferta del </w:t>
      </w:r>
      <w:r w:rsidR="002C30FD">
        <w:rPr>
          <w:sz w:val="22"/>
          <w:highlight w:val="yellow"/>
        </w:rPr>
        <w:t>contratista</w:t>
      </w:r>
      <w:r>
        <w:rPr>
          <w:sz w:val="22"/>
        </w:rPr>
        <w:t>.&gt;</w:t>
      </w:r>
    </w:p>
    <w:p w:rsidR="001050EE" w:rsidRPr="00021EB3" w:rsidRDefault="001050EE" w:rsidP="00021EB3">
      <w:pPr>
        <w:spacing w:before="240"/>
        <w:ind w:left="1276" w:hanging="1276"/>
        <w:jc w:val="both"/>
        <w:rPr>
          <w:b/>
          <w:szCs w:val="24"/>
        </w:rPr>
      </w:pPr>
      <w:r>
        <w:rPr>
          <w:b/>
        </w:rPr>
        <w:lastRenderedPageBreak/>
        <w:t>Cláusula 21</w:t>
      </w:r>
      <w:r>
        <w:tab/>
      </w:r>
      <w:r w:rsidR="008133C4">
        <w:tab/>
      </w:r>
      <w:r>
        <w:rPr>
          <w:b/>
        </w:rPr>
        <w:t>Riesgos excepcionales</w:t>
      </w:r>
    </w:p>
    <w:p w:rsidR="001050EE" w:rsidRPr="00021EB3" w:rsidRDefault="009E24C9" w:rsidP="00021EB3">
      <w:pPr>
        <w:spacing w:before="120" w:after="120"/>
        <w:ind w:left="1276" w:hanging="709"/>
        <w:jc w:val="both"/>
        <w:rPr>
          <w:sz w:val="22"/>
          <w:szCs w:val="22"/>
        </w:rPr>
      </w:pPr>
      <w:r>
        <w:rPr>
          <w:sz w:val="22"/>
        </w:rPr>
        <w:t>21.4</w:t>
      </w:r>
      <w:r>
        <w:tab/>
      </w:r>
      <w:r>
        <w:rPr>
          <w:sz w:val="22"/>
        </w:rPr>
        <w:t>&lt;</w:t>
      </w:r>
      <w:r>
        <w:rPr>
          <w:sz w:val="22"/>
          <w:highlight w:val="yellow"/>
        </w:rPr>
        <w:t>Especifíquese cualquier posible condición climatológica excepcional</w:t>
      </w:r>
      <w:r>
        <w:rPr>
          <w:sz w:val="22"/>
        </w:rPr>
        <w:t>.&gt;</w:t>
      </w:r>
    </w:p>
    <w:p w:rsidR="001050EE" w:rsidRPr="00021EB3" w:rsidRDefault="001050EE" w:rsidP="00021EB3">
      <w:pPr>
        <w:spacing w:before="240"/>
        <w:ind w:left="1276" w:hanging="1276"/>
        <w:jc w:val="both"/>
        <w:rPr>
          <w:b/>
          <w:szCs w:val="24"/>
        </w:rPr>
      </w:pPr>
      <w:bookmarkStart w:id="19" w:name="_Toc76894426"/>
      <w:r>
        <w:rPr>
          <w:b/>
        </w:rPr>
        <w:t>Cláusula 24</w:t>
      </w:r>
      <w:r>
        <w:tab/>
      </w:r>
      <w:r w:rsidR="008133C4">
        <w:tab/>
      </w:r>
      <w:r>
        <w:rPr>
          <w:b/>
        </w:rPr>
        <w:t>Obstrucción del tráfico</w:t>
      </w:r>
      <w:bookmarkEnd w:id="19"/>
    </w:p>
    <w:p w:rsidR="001050EE" w:rsidRPr="00021EB3" w:rsidRDefault="001050EE" w:rsidP="00A12DBD">
      <w:pPr>
        <w:spacing w:before="120" w:after="120"/>
        <w:ind w:left="1276" w:hanging="709"/>
        <w:jc w:val="both"/>
        <w:rPr>
          <w:bCs/>
          <w:sz w:val="22"/>
          <w:szCs w:val="22"/>
        </w:rPr>
      </w:pPr>
      <w:r>
        <w:rPr>
          <w:sz w:val="22"/>
        </w:rPr>
        <w:t>24.1</w:t>
      </w:r>
      <w:r>
        <w:tab/>
      </w:r>
      <w:r>
        <w:rPr>
          <w:sz w:val="22"/>
        </w:rPr>
        <w:t>&lt;</w:t>
      </w:r>
      <w:r>
        <w:rPr>
          <w:sz w:val="22"/>
          <w:highlight w:val="yellow"/>
        </w:rPr>
        <w:t>Especifíquese cualquier permiso para impedir el tráfico en vías de comunicación</w:t>
      </w:r>
      <w:r>
        <w:rPr>
          <w:sz w:val="22"/>
        </w:rPr>
        <w:t>.&gt;</w:t>
      </w:r>
    </w:p>
    <w:p w:rsidR="001050EE" w:rsidRPr="00021EB3" w:rsidRDefault="001050EE" w:rsidP="00A12DBD">
      <w:pPr>
        <w:spacing w:before="120" w:after="120"/>
        <w:ind w:left="1276" w:hanging="709"/>
        <w:jc w:val="both"/>
        <w:rPr>
          <w:bCs/>
          <w:sz w:val="22"/>
          <w:szCs w:val="22"/>
        </w:rPr>
      </w:pPr>
      <w:r>
        <w:rPr>
          <w:sz w:val="22"/>
        </w:rPr>
        <w:t>24.2</w:t>
      </w:r>
      <w:r>
        <w:tab/>
      </w:r>
      <w:r>
        <w:rPr>
          <w:sz w:val="22"/>
        </w:rPr>
        <w:t>&lt;</w:t>
      </w:r>
      <w:r>
        <w:rPr>
          <w:sz w:val="22"/>
          <w:highlight w:val="yellow"/>
        </w:rPr>
        <w:t xml:space="preserve">Especifíquense las medidas especiales requeridas del </w:t>
      </w:r>
      <w:r w:rsidR="002C30FD">
        <w:rPr>
          <w:sz w:val="22"/>
          <w:highlight w:val="yellow"/>
        </w:rPr>
        <w:t>contratista</w:t>
      </w:r>
      <w:r>
        <w:rPr>
          <w:sz w:val="22"/>
          <w:highlight w:val="yellow"/>
        </w:rPr>
        <w:t xml:space="preserve"> en relación con el tráfico en torno al emplazamiento o dentro del mismo</w:t>
      </w:r>
      <w:r>
        <w:rPr>
          <w:sz w:val="22"/>
        </w:rPr>
        <w:t>.&gt;</w:t>
      </w:r>
    </w:p>
    <w:p w:rsidR="001050EE" w:rsidRPr="00021EB3" w:rsidRDefault="001050EE" w:rsidP="00021EB3">
      <w:pPr>
        <w:spacing w:before="240"/>
        <w:ind w:left="1276" w:hanging="1276"/>
        <w:jc w:val="both"/>
        <w:rPr>
          <w:b/>
          <w:szCs w:val="24"/>
        </w:rPr>
      </w:pPr>
      <w:bookmarkStart w:id="20" w:name="_Toc76894427"/>
      <w:r>
        <w:rPr>
          <w:b/>
        </w:rPr>
        <w:t>Cláusula 27</w:t>
      </w:r>
      <w:r>
        <w:tab/>
      </w:r>
      <w:r w:rsidR="008133C4">
        <w:tab/>
      </w:r>
      <w:r>
        <w:rPr>
          <w:b/>
        </w:rPr>
        <w:t>Materiales de demolición</w:t>
      </w:r>
      <w:bookmarkEnd w:id="20"/>
    </w:p>
    <w:p w:rsidR="001050EE" w:rsidRPr="00021EB3" w:rsidRDefault="001050EE" w:rsidP="00021EB3">
      <w:pPr>
        <w:spacing w:before="120" w:after="120"/>
        <w:ind w:left="1276" w:hanging="709"/>
        <w:jc w:val="both"/>
        <w:rPr>
          <w:bCs/>
          <w:sz w:val="22"/>
          <w:szCs w:val="22"/>
        </w:rPr>
      </w:pPr>
      <w:r>
        <w:rPr>
          <w:sz w:val="22"/>
        </w:rPr>
        <w:t>27.2</w:t>
      </w:r>
      <w:r>
        <w:tab/>
      </w:r>
      <w:r>
        <w:rPr>
          <w:sz w:val="22"/>
        </w:rPr>
        <w:t>&lt;</w:t>
      </w:r>
      <w:r>
        <w:rPr>
          <w:sz w:val="22"/>
          <w:highlight w:val="yellow"/>
        </w:rPr>
        <w:t>Especifíquese si los materiales de demolición pasan a ser propiedad del Órgano de Contratación</w:t>
      </w:r>
      <w:r>
        <w:rPr>
          <w:sz w:val="22"/>
        </w:rPr>
        <w:t>.&gt;</w:t>
      </w:r>
    </w:p>
    <w:p w:rsidR="001050EE" w:rsidRPr="00021EB3" w:rsidRDefault="001050EE" w:rsidP="00021EB3">
      <w:pPr>
        <w:spacing w:before="120" w:after="120"/>
        <w:ind w:left="1276" w:hanging="709"/>
        <w:jc w:val="both"/>
        <w:rPr>
          <w:sz w:val="22"/>
          <w:szCs w:val="22"/>
        </w:rPr>
      </w:pPr>
      <w:r>
        <w:rPr>
          <w:sz w:val="22"/>
        </w:rPr>
        <w:t>27.4</w:t>
      </w:r>
      <w:r>
        <w:tab/>
      </w:r>
      <w:r>
        <w:rPr>
          <w:sz w:val="22"/>
        </w:rPr>
        <w:t>&lt;</w:t>
      </w:r>
      <w:r>
        <w:rPr>
          <w:sz w:val="22"/>
          <w:highlight w:val="yellow"/>
        </w:rPr>
        <w:t xml:space="preserve">Especifíquese quién va a retirar los materiales de demolición, en caso de que no lo haga el </w:t>
      </w:r>
      <w:r w:rsidR="002C30FD">
        <w:rPr>
          <w:sz w:val="22"/>
          <w:highlight w:val="yellow"/>
        </w:rPr>
        <w:t>contratista</w:t>
      </w:r>
      <w:r>
        <w:rPr>
          <w:sz w:val="22"/>
        </w:rPr>
        <w:t>.&gt;</w:t>
      </w:r>
    </w:p>
    <w:p w:rsidR="001050EE" w:rsidRPr="00021EB3" w:rsidRDefault="001050EE" w:rsidP="00021EB3">
      <w:pPr>
        <w:spacing w:before="240"/>
        <w:ind w:left="1276" w:hanging="1276"/>
        <w:jc w:val="both"/>
        <w:rPr>
          <w:b/>
          <w:szCs w:val="24"/>
        </w:rPr>
      </w:pPr>
      <w:r>
        <w:rPr>
          <w:b/>
        </w:rPr>
        <w:t>Cláusula 29</w:t>
      </w:r>
      <w:r>
        <w:tab/>
      </w:r>
      <w:r w:rsidR="008133C4">
        <w:tab/>
      </w:r>
      <w:r>
        <w:rPr>
          <w:b/>
        </w:rPr>
        <w:t>Obras provisionales</w:t>
      </w:r>
    </w:p>
    <w:p w:rsidR="001050EE" w:rsidRPr="00021EB3" w:rsidRDefault="001050EE" w:rsidP="00021EB3">
      <w:pPr>
        <w:spacing w:before="120" w:after="120"/>
        <w:ind w:left="1276" w:hanging="709"/>
        <w:jc w:val="both"/>
        <w:rPr>
          <w:bCs/>
          <w:sz w:val="22"/>
          <w:szCs w:val="22"/>
        </w:rPr>
      </w:pPr>
      <w:r>
        <w:rPr>
          <w:sz w:val="22"/>
        </w:rPr>
        <w:t>29.2</w:t>
      </w:r>
      <w:r>
        <w:tab/>
      </w:r>
      <w:r>
        <w:rPr>
          <w:sz w:val="22"/>
        </w:rPr>
        <w:t>&lt;</w:t>
      </w:r>
      <w:r>
        <w:rPr>
          <w:sz w:val="22"/>
          <w:highlight w:val="yellow"/>
        </w:rPr>
        <w:t>Especifíquese si la concepción de obras provisionales específicas es responsabilidad del Órgano de Contratación</w:t>
      </w:r>
      <w:r>
        <w:rPr>
          <w:sz w:val="22"/>
        </w:rPr>
        <w:t>.&gt;</w:t>
      </w:r>
    </w:p>
    <w:p w:rsidR="001050EE" w:rsidRPr="00021EB3" w:rsidRDefault="001050EE" w:rsidP="00021EB3">
      <w:pPr>
        <w:spacing w:before="240"/>
        <w:ind w:left="1276" w:hanging="1276"/>
        <w:jc w:val="both"/>
        <w:rPr>
          <w:b/>
          <w:szCs w:val="24"/>
        </w:rPr>
      </w:pPr>
      <w:bookmarkStart w:id="21" w:name="_Toc76894428"/>
      <w:r>
        <w:rPr>
          <w:b/>
        </w:rPr>
        <w:t>Cláusula 30</w:t>
      </w:r>
      <w:r>
        <w:tab/>
      </w:r>
      <w:r w:rsidR="008133C4">
        <w:tab/>
      </w:r>
      <w:r>
        <w:rPr>
          <w:b/>
        </w:rPr>
        <w:t>Análisis del suelo</w:t>
      </w:r>
      <w:bookmarkEnd w:id="21"/>
    </w:p>
    <w:p w:rsidR="001050EE" w:rsidRPr="00021EB3" w:rsidRDefault="001050EE" w:rsidP="00021EB3">
      <w:pPr>
        <w:spacing w:before="120" w:after="120"/>
        <w:ind w:left="1276" w:hanging="709"/>
        <w:jc w:val="both"/>
        <w:rPr>
          <w:bCs/>
          <w:sz w:val="22"/>
          <w:szCs w:val="22"/>
        </w:rPr>
      </w:pPr>
      <w:r>
        <w:rPr>
          <w:sz w:val="22"/>
        </w:rPr>
        <w:t>30.1</w:t>
      </w:r>
      <w:r>
        <w:tab/>
      </w:r>
      <w:r>
        <w:rPr>
          <w:sz w:val="22"/>
        </w:rPr>
        <w:t>&lt;</w:t>
      </w:r>
      <w:r>
        <w:rPr>
          <w:sz w:val="22"/>
          <w:highlight w:val="yellow"/>
        </w:rPr>
        <w:t>Especifíquense las modalidades de realización de los análisis del suelo, en caso necesario</w:t>
      </w:r>
      <w:r>
        <w:rPr>
          <w:sz w:val="22"/>
        </w:rPr>
        <w:t>.&gt;</w:t>
      </w:r>
    </w:p>
    <w:p w:rsidR="001050EE" w:rsidRPr="00021EB3" w:rsidRDefault="001050EE" w:rsidP="00021EB3">
      <w:pPr>
        <w:spacing w:before="240"/>
        <w:ind w:left="1276" w:hanging="1276"/>
        <w:jc w:val="both"/>
        <w:rPr>
          <w:b/>
          <w:szCs w:val="24"/>
        </w:rPr>
      </w:pPr>
      <w:bookmarkStart w:id="22" w:name="_Toc76894429"/>
      <w:r>
        <w:rPr>
          <w:b/>
        </w:rPr>
        <w:t>Cláusula 32</w:t>
      </w:r>
      <w:r>
        <w:tab/>
      </w:r>
      <w:r w:rsidR="008133C4">
        <w:tab/>
      </w:r>
      <w:r>
        <w:rPr>
          <w:b/>
        </w:rPr>
        <w:t>Patentes y licencias</w:t>
      </w:r>
      <w:bookmarkEnd w:id="22"/>
    </w:p>
    <w:p w:rsidR="001050EE" w:rsidRPr="00021EB3" w:rsidRDefault="001050EE" w:rsidP="00021EB3">
      <w:pPr>
        <w:spacing w:before="120" w:after="120"/>
        <w:ind w:left="1276" w:hanging="709"/>
        <w:jc w:val="both"/>
        <w:rPr>
          <w:bCs/>
          <w:sz w:val="22"/>
          <w:szCs w:val="22"/>
        </w:rPr>
      </w:pPr>
      <w:r>
        <w:rPr>
          <w:sz w:val="22"/>
        </w:rPr>
        <w:t>32.1</w:t>
      </w:r>
      <w:r>
        <w:tab/>
      </w:r>
      <w:r>
        <w:rPr>
          <w:sz w:val="22"/>
        </w:rPr>
        <w:t>&lt;</w:t>
      </w:r>
      <w:r>
        <w:rPr>
          <w:sz w:val="22"/>
          <w:highlight w:val="yellow"/>
        </w:rPr>
        <w:t>Especifíquese si existe o no una derogación de la cláusula</w:t>
      </w:r>
      <w:r w:rsidR="005D6248">
        <w:rPr>
          <w:sz w:val="22"/>
          <w:highlight w:val="yellow"/>
        </w:rPr>
        <w:t xml:space="preserve"> </w:t>
      </w:r>
      <w:r>
        <w:rPr>
          <w:sz w:val="22"/>
          <w:highlight w:val="yellow"/>
        </w:rPr>
        <w:t>32 de las Condiciones Generales</w:t>
      </w:r>
      <w:r>
        <w:rPr>
          <w:sz w:val="22"/>
        </w:rPr>
        <w:t>.&gt;</w:t>
      </w:r>
    </w:p>
    <w:p w:rsidR="001050EE" w:rsidRPr="00021EB3" w:rsidRDefault="001050EE" w:rsidP="00021EB3">
      <w:pPr>
        <w:spacing w:before="240"/>
        <w:ind w:left="1276" w:hanging="1276"/>
        <w:jc w:val="both"/>
        <w:rPr>
          <w:b/>
          <w:szCs w:val="24"/>
        </w:rPr>
      </w:pPr>
      <w:bookmarkStart w:id="23" w:name="_Toc76894431"/>
      <w:r>
        <w:rPr>
          <w:b/>
        </w:rPr>
        <w:t>Cláusula 34</w:t>
      </w:r>
      <w:r>
        <w:tab/>
      </w:r>
      <w:r w:rsidR="008133C4">
        <w:tab/>
      </w:r>
      <w:r>
        <w:rPr>
          <w:b/>
        </w:rPr>
        <w:t xml:space="preserve">Plazo de </w:t>
      </w:r>
      <w:r w:rsidR="004B660B">
        <w:rPr>
          <w:b/>
        </w:rPr>
        <w:t>ejecución</w:t>
      </w:r>
      <w:r>
        <w:rPr>
          <w:b/>
        </w:rPr>
        <w:t xml:space="preserve"> de las tareas</w:t>
      </w:r>
      <w:bookmarkEnd w:id="23"/>
    </w:p>
    <w:p w:rsidR="001050EE" w:rsidRPr="00021EB3" w:rsidRDefault="001050EE" w:rsidP="00021EB3">
      <w:pPr>
        <w:pStyle w:val="Title"/>
        <w:ind w:left="1276" w:hanging="709"/>
        <w:jc w:val="both"/>
        <w:rPr>
          <w:rFonts w:ascii="Times New Roman" w:hAnsi="Times New Roman"/>
          <w:b w:val="0"/>
          <w:smallCaps/>
          <w:sz w:val="22"/>
          <w:szCs w:val="22"/>
        </w:rPr>
      </w:pPr>
      <w:r>
        <w:rPr>
          <w:rFonts w:ascii="Times New Roman" w:hAnsi="Times New Roman"/>
          <w:b w:val="0"/>
          <w:sz w:val="22"/>
        </w:rPr>
        <w:t>34.1</w:t>
      </w:r>
      <w:r>
        <w:tab/>
      </w:r>
      <w:r>
        <w:rPr>
          <w:rFonts w:ascii="Times New Roman" w:hAnsi="Times New Roman"/>
          <w:b w:val="0"/>
          <w:sz w:val="22"/>
        </w:rPr>
        <w:t>&lt;</w:t>
      </w:r>
      <w:r>
        <w:rPr>
          <w:rFonts w:ascii="Times New Roman" w:hAnsi="Times New Roman"/>
          <w:b w:val="0"/>
          <w:sz w:val="22"/>
          <w:highlight w:val="yellow"/>
        </w:rPr>
        <w:t>Especifique el(los) plazo(s) de aplicación de las tareas: número de meses en cifras y letras</w:t>
      </w:r>
      <w:r>
        <w:rPr>
          <w:rFonts w:ascii="Times New Roman" w:hAnsi="Times New Roman"/>
          <w:b w:val="0"/>
          <w:sz w:val="22"/>
        </w:rPr>
        <w:t>&gt;</w:t>
      </w:r>
    </w:p>
    <w:p w:rsidR="001050EE" w:rsidRPr="00021EB3" w:rsidRDefault="001050EE" w:rsidP="00021EB3">
      <w:pPr>
        <w:spacing w:before="240"/>
        <w:ind w:left="1276" w:hanging="1276"/>
        <w:jc w:val="both"/>
        <w:rPr>
          <w:b/>
          <w:szCs w:val="24"/>
        </w:rPr>
      </w:pPr>
      <w:bookmarkStart w:id="24" w:name="_Toc76894432"/>
      <w:r>
        <w:rPr>
          <w:b/>
        </w:rPr>
        <w:t>Cláusula 36</w:t>
      </w:r>
      <w:r>
        <w:tab/>
      </w:r>
      <w:r w:rsidR="008133C4">
        <w:tab/>
      </w:r>
      <w:r>
        <w:rPr>
          <w:b/>
        </w:rPr>
        <w:t xml:space="preserve">Retrasos en la </w:t>
      </w:r>
      <w:r w:rsidR="004B660B">
        <w:rPr>
          <w:b/>
        </w:rPr>
        <w:t>ejecución</w:t>
      </w:r>
      <w:r>
        <w:rPr>
          <w:b/>
        </w:rPr>
        <w:t xml:space="preserve"> de las tareas</w:t>
      </w:r>
      <w:bookmarkEnd w:id="24"/>
    </w:p>
    <w:p w:rsidR="001050EE" w:rsidRPr="00021EB3" w:rsidRDefault="001050EE" w:rsidP="00116CA6">
      <w:pPr>
        <w:spacing w:before="120" w:after="120"/>
        <w:ind w:left="1276" w:hanging="709"/>
        <w:jc w:val="both"/>
        <w:rPr>
          <w:sz w:val="22"/>
          <w:szCs w:val="22"/>
        </w:rPr>
      </w:pPr>
      <w:r>
        <w:rPr>
          <w:sz w:val="22"/>
        </w:rPr>
        <w:t>36.1</w:t>
      </w:r>
      <w:r>
        <w:tab/>
      </w:r>
      <w:r>
        <w:rPr>
          <w:sz w:val="22"/>
        </w:rPr>
        <w:t>&lt;</w:t>
      </w:r>
      <w:r>
        <w:rPr>
          <w:sz w:val="22"/>
          <w:highlight w:val="yellow"/>
        </w:rPr>
        <w:t xml:space="preserve">Especifíquese </w:t>
      </w:r>
      <w:r w:rsidR="007E5556">
        <w:rPr>
          <w:sz w:val="22"/>
          <w:highlight w:val="yellow"/>
        </w:rPr>
        <w:t xml:space="preserve">como se requiere </w:t>
      </w:r>
      <w:r>
        <w:rPr>
          <w:sz w:val="22"/>
          <w:highlight w:val="yellow"/>
        </w:rPr>
        <w:t xml:space="preserve">el importe de la indemnización estipulada por día de retraso y el importe máximo acumulado de dicha indemnización; 1/1000 del valor del </w:t>
      </w:r>
      <w:r w:rsidR="00B42C3E">
        <w:rPr>
          <w:sz w:val="22"/>
          <w:highlight w:val="yellow"/>
        </w:rPr>
        <w:t>contrato</w:t>
      </w:r>
      <w:r>
        <w:rPr>
          <w:sz w:val="22"/>
          <w:highlight w:val="yellow"/>
        </w:rPr>
        <w:t xml:space="preserve"> por día de retraso hasta un límite del 20 % del valor total del </w:t>
      </w:r>
      <w:r w:rsidR="00B42C3E">
        <w:rPr>
          <w:sz w:val="22"/>
          <w:highlight w:val="yellow"/>
        </w:rPr>
        <w:t>contrato</w:t>
      </w:r>
      <w:r>
        <w:rPr>
          <w:sz w:val="22"/>
          <w:highlight w:val="yellow"/>
        </w:rPr>
        <w:t xml:space="preserve"> o 100 000 EUR por día de retraso hasta un límite de 10 000 000 EUR</w:t>
      </w:r>
      <w:r>
        <w:rPr>
          <w:sz w:val="22"/>
        </w:rPr>
        <w:t>.&gt;</w:t>
      </w:r>
    </w:p>
    <w:p w:rsidR="001050EE" w:rsidRPr="00E725FE" w:rsidRDefault="001050EE" w:rsidP="00116CA6">
      <w:pPr>
        <w:spacing w:after="120"/>
        <w:ind w:left="1276"/>
        <w:jc w:val="both"/>
        <w:rPr>
          <w:sz w:val="22"/>
          <w:szCs w:val="22"/>
        </w:rPr>
      </w:pPr>
      <w:r>
        <w:rPr>
          <w:sz w:val="22"/>
          <w:highlight w:val="yellow"/>
        </w:rPr>
        <w:t>[En su defecto, indíquense las siguientes disposiciones</w:t>
      </w:r>
      <w:r w:rsidR="007E5556">
        <w:rPr>
          <w:sz w:val="22"/>
          <w:highlight w:val="yellow"/>
        </w:rPr>
        <w:t xml:space="preserve"> por incumplimiento</w:t>
      </w:r>
      <w:r>
        <w:rPr>
          <w:sz w:val="22"/>
          <w:highlight w:val="yellow"/>
        </w:rPr>
        <w:t>:</w:t>
      </w:r>
    </w:p>
    <w:p w:rsidR="001050EE" w:rsidRPr="00E725FE" w:rsidRDefault="001050EE" w:rsidP="00E5391D">
      <w:pPr>
        <w:ind w:left="1276"/>
        <w:jc w:val="both"/>
        <w:rPr>
          <w:sz w:val="22"/>
          <w:szCs w:val="22"/>
        </w:rPr>
      </w:pPr>
      <w:r>
        <w:rPr>
          <w:sz w:val="22"/>
          <w:highlight w:val="lightGray"/>
        </w:rPr>
        <w:t xml:space="preserve">El tipo de la indemnización estipulada en caso de retraso en la finalización de las obras será del 0,1 % del precio del </w:t>
      </w:r>
      <w:r w:rsidR="00B42C3E">
        <w:rPr>
          <w:sz w:val="22"/>
          <w:highlight w:val="lightGray"/>
        </w:rPr>
        <w:t>contrato</w:t>
      </w:r>
      <w:r>
        <w:rPr>
          <w:sz w:val="22"/>
          <w:highlight w:val="lightGray"/>
        </w:rPr>
        <w:t xml:space="preserve"> por cada día o parte del mismo comprendido entre el final del periodo de ejecución de las tareas y el día efectivo de finalización de las mismas, con un máximo del 10 % del precio del </w:t>
      </w:r>
      <w:r w:rsidR="00B42C3E">
        <w:rPr>
          <w:sz w:val="22"/>
          <w:highlight w:val="lightGray"/>
        </w:rPr>
        <w:t>contrato</w:t>
      </w:r>
      <w:r>
        <w:rPr>
          <w:sz w:val="22"/>
          <w:highlight w:val="lightGray"/>
        </w:rPr>
        <w:t xml:space="preserve"> o, si el </w:t>
      </w:r>
      <w:r w:rsidR="00B42C3E">
        <w:rPr>
          <w:sz w:val="22"/>
          <w:highlight w:val="lightGray"/>
        </w:rPr>
        <w:t>contrato</w:t>
      </w:r>
      <w:r>
        <w:rPr>
          <w:sz w:val="22"/>
          <w:highlight w:val="lightGray"/>
        </w:rPr>
        <w:t xml:space="preserve"> estuviera dividido en fases, un 10 % del precio de la fase de que se trate</w:t>
      </w:r>
      <w:r>
        <w:rPr>
          <w:sz w:val="22"/>
        </w:rPr>
        <w:t>.]</w:t>
      </w:r>
    </w:p>
    <w:p w:rsidR="001050EE" w:rsidRPr="00116CA6" w:rsidRDefault="001050EE" w:rsidP="00116CA6">
      <w:pPr>
        <w:spacing w:before="240"/>
        <w:ind w:left="1276" w:hanging="1276"/>
        <w:jc w:val="both"/>
        <w:rPr>
          <w:b/>
          <w:szCs w:val="24"/>
        </w:rPr>
      </w:pPr>
      <w:bookmarkStart w:id="25" w:name="_Toc76894434"/>
      <w:r>
        <w:rPr>
          <w:b/>
        </w:rPr>
        <w:t>Cláusula 39</w:t>
      </w:r>
      <w:r>
        <w:tab/>
      </w:r>
      <w:r w:rsidR="008133C4">
        <w:tab/>
      </w:r>
      <w:r>
        <w:rPr>
          <w:b/>
        </w:rPr>
        <w:t>Registro de obra</w:t>
      </w:r>
      <w:bookmarkEnd w:id="25"/>
    </w:p>
    <w:p w:rsidR="001050EE" w:rsidRPr="00A12DBD" w:rsidRDefault="001050EE" w:rsidP="00A12DBD">
      <w:pPr>
        <w:spacing w:before="120" w:after="120"/>
        <w:ind w:left="1276" w:hanging="709"/>
        <w:jc w:val="both"/>
        <w:rPr>
          <w:sz w:val="22"/>
          <w:szCs w:val="22"/>
        </w:rPr>
      </w:pPr>
      <w:r>
        <w:rPr>
          <w:sz w:val="22"/>
        </w:rPr>
        <w:t>39.1</w:t>
      </w:r>
      <w:r>
        <w:tab/>
      </w:r>
      <w:r>
        <w:rPr>
          <w:sz w:val="22"/>
        </w:rPr>
        <w:t>&lt;</w:t>
      </w:r>
      <w:r>
        <w:rPr>
          <w:sz w:val="22"/>
          <w:highlight w:val="yellow"/>
        </w:rPr>
        <w:t>Especifíquese si no es preciso el registro de obra. En caso necesario, especifíquense los detalles prácticos</w:t>
      </w:r>
      <w:r>
        <w:rPr>
          <w:sz w:val="22"/>
        </w:rPr>
        <w:t>.&gt;</w:t>
      </w:r>
    </w:p>
    <w:p w:rsidR="001050EE" w:rsidRPr="00A12DBD" w:rsidRDefault="001050EE" w:rsidP="00A12DBD">
      <w:pPr>
        <w:spacing w:before="120" w:after="120"/>
        <w:ind w:left="1276" w:hanging="709"/>
        <w:jc w:val="both"/>
        <w:rPr>
          <w:bCs/>
          <w:sz w:val="22"/>
          <w:szCs w:val="22"/>
        </w:rPr>
      </w:pPr>
      <w:r>
        <w:rPr>
          <w:sz w:val="22"/>
        </w:rPr>
        <w:lastRenderedPageBreak/>
        <w:t>39.2</w:t>
      </w:r>
      <w:r>
        <w:tab/>
      </w:r>
      <w:r>
        <w:rPr>
          <w:sz w:val="22"/>
        </w:rPr>
        <w:t>&lt;</w:t>
      </w:r>
      <w:r>
        <w:rPr>
          <w:sz w:val="22"/>
          <w:highlight w:val="yellow"/>
        </w:rPr>
        <w:t>Especifíquense las normas técnicas para la redacción de los informes</w:t>
      </w:r>
      <w:r>
        <w:rPr>
          <w:sz w:val="22"/>
        </w:rPr>
        <w:t>.&gt;</w:t>
      </w:r>
    </w:p>
    <w:p w:rsidR="001050EE" w:rsidRPr="00116CA6" w:rsidRDefault="001050EE" w:rsidP="00A12DBD">
      <w:pPr>
        <w:spacing w:before="240"/>
        <w:ind w:left="1276" w:hanging="1276"/>
        <w:jc w:val="both"/>
        <w:rPr>
          <w:b/>
          <w:szCs w:val="24"/>
        </w:rPr>
      </w:pPr>
      <w:bookmarkStart w:id="26" w:name="_Toc76894435"/>
      <w:r>
        <w:rPr>
          <w:b/>
        </w:rPr>
        <w:t>Cláusula 40</w:t>
      </w:r>
      <w:r>
        <w:tab/>
      </w:r>
      <w:r w:rsidR="008133C4">
        <w:tab/>
      </w:r>
      <w:r>
        <w:rPr>
          <w:b/>
        </w:rPr>
        <w:t>Origen y calidad de las obras y de los materiales</w:t>
      </w:r>
      <w:bookmarkEnd w:id="26"/>
    </w:p>
    <w:p w:rsidR="007E5556" w:rsidRPr="00231CC5" w:rsidRDefault="001050EE" w:rsidP="00A12DBD">
      <w:pPr>
        <w:pStyle w:val="Heading2"/>
        <w:keepNext w:val="0"/>
        <w:numPr>
          <w:ilvl w:val="1"/>
          <w:numId w:val="0"/>
        </w:numPr>
        <w:spacing w:before="120" w:after="120"/>
        <w:ind w:left="1276" w:hanging="709"/>
        <w:rPr>
          <w:rFonts w:ascii="Times New Roman" w:hAnsi="Times New Roman"/>
          <w:b w:val="0"/>
          <w:sz w:val="22"/>
          <w:szCs w:val="22"/>
          <w:lang w:val="es-ES_tradnl"/>
        </w:rPr>
      </w:pPr>
      <w:r>
        <w:rPr>
          <w:rFonts w:ascii="Times New Roman" w:hAnsi="Times New Roman"/>
          <w:b w:val="0"/>
          <w:sz w:val="22"/>
        </w:rPr>
        <w:t>40.1</w:t>
      </w:r>
      <w:r>
        <w:tab/>
      </w:r>
      <w:r>
        <w:rPr>
          <w:rFonts w:ascii="Times New Roman" w:hAnsi="Times New Roman"/>
          <w:b w:val="0"/>
          <w:sz w:val="22"/>
        </w:rPr>
        <w:t xml:space="preserve">Todos los bienes adquiridos con arreglo al </w:t>
      </w:r>
      <w:r w:rsidR="00B42C3E">
        <w:rPr>
          <w:rFonts w:ascii="Times New Roman" w:hAnsi="Times New Roman"/>
          <w:b w:val="0"/>
          <w:sz w:val="22"/>
        </w:rPr>
        <w:t>contrato</w:t>
      </w:r>
      <w:r>
        <w:rPr>
          <w:rFonts w:ascii="Times New Roman" w:hAnsi="Times New Roman"/>
          <w:b w:val="0"/>
          <w:sz w:val="22"/>
        </w:rPr>
        <w:t xml:space="preserve"> deberán ser originarios de un país elegible conforme lo define el programa &lt;</w:t>
      </w:r>
      <w:r>
        <w:rPr>
          <w:rFonts w:ascii="Times New Roman" w:hAnsi="Times New Roman"/>
          <w:b w:val="0"/>
          <w:sz w:val="22"/>
          <w:highlight w:val="yellow"/>
        </w:rPr>
        <w:t>indicar el instrumento pertinente de financiación del proyecto</w:t>
      </w:r>
      <w:r>
        <w:rPr>
          <w:rFonts w:ascii="Times New Roman" w:hAnsi="Times New Roman"/>
          <w:b w:val="0"/>
          <w:sz w:val="22"/>
        </w:rPr>
        <w:t xml:space="preserve">&gt;. </w:t>
      </w:r>
      <w:r w:rsidR="007E5556" w:rsidRPr="004E3C59">
        <w:rPr>
          <w:rFonts w:ascii="Times New Roman" w:hAnsi="Times New Roman"/>
          <w:b w:val="0"/>
          <w:sz w:val="22"/>
          <w:szCs w:val="22"/>
          <w:lang w:val="es-ES_tradnl"/>
        </w:rPr>
        <w:t>[</w:t>
      </w:r>
      <w:r w:rsidR="004E3C59" w:rsidRPr="007E5556">
        <w:rPr>
          <w:rFonts w:ascii="Times New Roman" w:hAnsi="Times New Roman"/>
          <w:b w:val="0"/>
          <w:sz w:val="22"/>
          <w:szCs w:val="22"/>
          <w:highlight w:val="yellow"/>
          <w:lang w:val="es-ES_tradnl"/>
        </w:rPr>
        <w:t>P</w:t>
      </w:r>
      <w:r w:rsidR="00EE6E3C">
        <w:rPr>
          <w:rFonts w:ascii="Times New Roman" w:hAnsi="Times New Roman"/>
          <w:b w:val="0"/>
          <w:sz w:val="22"/>
          <w:szCs w:val="22"/>
          <w:highlight w:val="yellow"/>
          <w:lang w:val="es-ES_tradnl"/>
        </w:rPr>
        <w:t>rupuesto general de la Unión</w:t>
      </w:r>
      <w:r w:rsidR="004E3C59" w:rsidRPr="007E5556">
        <w:rPr>
          <w:rFonts w:ascii="Times New Roman" w:hAnsi="Times New Roman"/>
          <w:b w:val="0"/>
          <w:sz w:val="22"/>
          <w:szCs w:val="22"/>
          <w:highlight w:val="yellow"/>
          <w:lang w:val="es-ES_tradnl"/>
        </w:rPr>
        <w:t xml:space="preserve"> para </w:t>
      </w:r>
      <w:r w:rsidR="004E3C59" w:rsidRPr="004E3C59">
        <w:rPr>
          <w:rFonts w:ascii="Times New Roman" w:hAnsi="Times New Roman"/>
          <w:b w:val="0"/>
          <w:sz w:val="22"/>
          <w:szCs w:val="22"/>
          <w:highlight w:val="yellow"/>
          <w:lang w:val="es-ES_tradnl"/>
        </w:rPr>
        <w:t>licitaciones en las que es aplicable</w:t>
      </w:r>
      <w:r w:rsidR="004E3C59" w:rsidRPr="007E5556">
        <w:rPr>
          <w:rFonts w:ascii="Times New Roman" w:hAnsi="Times New Roman"/>
          <w:b w:val="0"/>
          <w:sz w:val="22"/>
          <w:szCs w:val="22"/>
          <w:highlight w:val="yellow"/>
          <w:lang w:val="es-ES_tradnl"/>
        </w:rPr>
        <w:t xml:space="preserve"> el R</w:t>
      </w:r>
      <w:r w:rsidR="004E3C59" w:rsidRPr="004E3C59">
        <w:rPr>
          <w:rFonts w:ascii="Times New Roman" w:hAnsi="Times New Roman"/>
          <w:b w:val="0"/>
          <w:sz w:val="22"/>
          <w:szCs w:val="22"/>
          <w:highlight w:val="yellow"/>
          <w:lang w:val="es-ES_tradnl"/>
        </w:rPr>
        <w:t>EC</w:t>
      </w:r>
      <w:r w:rsidR="004E3C59" w:rsidRPr="007E5556">
        <w:rPr>
          <w:rFonts w:ascii="Times New Roman" w:hAnsi="Times New Roman"/>
          <w:b w:val="0"/>
          <w:sz w:val="22"/>
          <w:szCs w:val="22"/>
          <w:highlight w:val="yellow"/>
          <w:lang w:val="es-ES_tradnl"/>
        </w:rPr>
        <w:t xml:space="preserve"> + </w:t>
      </w:r>
      <w:r w:rsidR="004E3C59" w:rsidRPr="004E3C59">
        <w:rPr>
          <w:rFonts w:ascii="Times New Roman" w:hAnsi="Times New Roman"/>
          <w:b w:val="0"/>
          <w:sz w:val="22"/>
          <w:szCs w:val="22"/>
          <w:highlight w:val="yellow"/>
          <w:lang w:val="es-ES_tradnl"/>
        </w:rPr>
        <w:t>F</w:t>
      </w:r>
      <w:r w:rsidR="004E3C59" w:rsidRPr="007E5556">
        <w:rPr>
          <w:rFonts w:ascii="Times New Roman" w:hAnsi="Times New Roman"/>
          <w:b w:val="0"/>
          <w:sz w:val="22"/>
          <w:szCs w:val="22"/>
          <w:highlight w:val="yellow"/>
          <w:lang w:val="es-ES_tradnl"/>
        </w:rPr>
        <w:t>ED</w:t>
      </w:r>
      <w:r w:rsidR="00E63ABD" w:rsidRPr="004E3C59">
        <w:rPr>
          <w:rFonts w:ascii="Times New Roman" w:hAnsi="Times New Roman"/>
          <w:b w:val="0"/>
          <w:color w:val="1F497D"/>
          <w:sz w:val="22"/>
          <w:szCs w:val="22"/>
          <w:highlight w:val="lightGray"/>
          <w:lang w:val="es-ES_tradnl"/>
        </w:rPr>
        <w:t xml:space="preserve">: </w:t>
      </w:r>
      <w:r w:rsidR="00E63ABD" w:rsidRPr="00231CC5">
        <w:rPr>
          <w:rFonts w:ascii="Times New Roman" w:hAnsi="Times New Roman"/>
          <w:b w:val="0"/>
          <w:sz w:val="22"/>
          <w:szCs w:val="22"/>
          <w:highlight w:val="lightGray"/>
          <w:lang w:val="es-ES_tradnl"/>
        </w:rPr>
        <w:t>Sin</w:t>
      </w:r>
      <w:r w:rsidR="004E3C59" w:rsidRPr="00231CC5">
        <w:rPr>
          <w:rFonts w:ascii="Times New Roman" w:hAnsi="Times New Roman"/>
          <w:b w:val="0"/>
          <w:sz w:val="22"/>
          <w:szCs w:val="22"/>
          <w:highlight w:val="lightGray"/>
          <w:lang w:val="es-ES_tradnl"/>
        </w:rPr>
        <w:t xml:space="preserve"> embargo, los bienes que vayan a adquirirse pueden proceder de cualquier país, siempre que el precio total de la cantidad estimada de esos bienes, tal como se refleja en un punto separado de</w:t>
      </w:r>
    </w:p>
    <w:p w:rsidR="004E3C59" w:rsidRPr="00231CC5" w:rsidRDefault="004E3C59" w:rsidP="004E3C59">
      <w:pPr>
        <w:spacing w:before="120" w:after="120"/>
        <w:ind w:left="720" w:firstLine="720"/>
        <w:jc w:val="both"/>
        <w:outlineLvl w:val="1"/>
        <w:rPr>
          <w:sz w:val="22"/>
          <w:szCs w:val="22"/>
          <w:lang w:val="es-ES_tradnl"/>
        </w:rPr>
      </w:pPr>
      <w:r w:rsidRPr="00231CC5">
        <w:rPr>
          <w:sz w:val="22"/>
          <w:szCs w:val="22"/>
          <w:highlight w:val="yellow"/>
          <w:lang w:val="es-ES_tradnl"/>
        </w:rPr>
        <w:t>[para los contratos de precio unitario</w:t>
      </w:r>
      <w:r w:rsidRPr="00231CC5">
        <w:rPr>
          <w:sz w:val="22"/>
          <w:szCs w:val="22"/>
          <w:lang w:val="es-ES_tradnl"/>
        </w:rPr>
        <w:t xml:space="preserve"> </w:t>
      </w:r>
      <w:r w:rsidR="00E10D0D" w:rsidRPr="00231CC5">
        <w:rPr>
          <w:sz w:val="22"/>
          <w:szCs w:val="22"/>
          <w:highlight w:val="lightGray"/>
          <w:lang w:val="es-ES_tradnl"/>
        </w:rPr>
        <w:t xml:space="preserve">la </w:t>
      </w:r>
      <w:r w:rsidR="004B660B" w:rsidRPr="00231CC5">
        <w:rPr>
          <w:sz w:val="22"/>
          <w:szCs w:val="22"/>
          <w:highlight w:val="lightGray"/>
          <w:lang w:val="es-ES_tradnl"/>
        </w:rPr>
        <w:t>r</w:t>
      </w:r>
      <w:r w:rsidRPr="00231CC5">
        <w:rPr>
          <w:sz w:val="22"/>
          <w:szCs w:val="22"/>
          <w:highlight w:val="lightGray"/>
          <w:lang w:val="es-ES_tradnl"/>
        </w:rPr>
        <w:t>elación de cantidades (Volumen 4.3.2)]</w:t>
      </w:r>
    </w:p>
    <w:p w:rsidR="004E3C59" w:rsidRPr="00231CC5" w:rsidRDefault="004E3C59" w:rsidP="0071615E">
      <w:pPr>
        <w:spacing w:before="120" w:after="120"/>
        <w:ind w:left="1440"/>
        <w:jc w:val="both"/>
        <w:outlineLvl w:val="1"/>
        <w:rPr>
          <w:sz w:val="22"/>
          <w:szCs w:val="22"/>
          <w:lang w:val="es-ES_tradnl"/>
        </w:rPr>
      </w:pPr>
      <w:r w:rsidRPr="00231CC5">
        <w:rPr>
          <w:sz w:val="22"/>
          <w:szCs w:val="22"/>
          <w:highlight w:val="yellow"/>
          <w:lang w:val="es-ES_tradnl"/>
        </w:rPr>
        <w:t>[</w:t>
      </w:r>
      <w:r w:rsidR="00E10D0D" w:rsidRPr="00231CC5">
        <w:rPr>
          <w:sz w:val="22"/>
          <w:szCs w:val="22"/>
          <w:highlight w:val="yellow"/>
          <w:lang w:val="es-ES_tradnl"/>
        </w:rPr>
        <w:t>para los contratos por cantidades fijas únicas</w:t>
      </w:r>
      <w:r w:rsidRPr="00231CC5">
        <w:rPr>
          <w:sz w:val="22"/>
          <w:szCs w:val="22"/>
          <w:lang w:val="es-ES_tradnl"/>
        </w:rPr>
        <w:t xml:space="preserve"> </w:t>
      </w:r>
      <w:r w:rsidR="00E10D0D" w:rsidRPr="00231CC5">
        <w:rPr>
          <w:sz w:val="22"/>
          <w:szCs w:val="22"/>
          <w:highlight w:val="lightGray"/>
          <w:lang w:val="es-ES_tradnl"/>
        </w:rPr>
        <w:t xml:space="preserve">el </w:t>
      </w:r>
      <w:r w:rsidR="004B660B" w:rsidRPr="00231CC5">
        <w:rPr>
          <w:sz w:val="22"/>
          <w:szCs w:val="22"/>
          <w:highlight w:val="lightGray"/>
          <w:lang w:val="es-ES_tradnl"/>
        </w:rPr>
        <w:t>d</w:t>
      </w:r>
      <w:r w:rsidR="00E10D0D" w:rsidRPr="00231CC5">
        <w:rPr>
          <w:sz w:val="22"/>
          <w:szCs w:val="22"/>
          <w:highlight w:val="lightGray"/>
          <w:lang w:val="es-ES_tradnl"/>
        </w:rPr>
        <w:t>esglose del precio fijo único</w:t>
      </w:r>
      <w:r w:rsidRPr="00231CC5">
        <w:rPr>
          <w:sz w:val="22"/>
          <w:szCs w:val="22"/>
          <w:highlight w:val="lightGray"/>
          <w:lang w:val="es-ES_tradnl"/>
        </w:rPr>
        <w:t xml:space="preserve"> (Volumen 4.2.3)]</w:t>
      </w:r>
    </w:p>
    <w:p w:rsidR="004E3C59" w:rsidRPr="00231CC5" w:rsidRDefault="00E10D0D" w:rsidP="0071615E">
      <w:pPr>
        <w:ind w:left="720" w:firstLine="720"/>
        <w:rPr>
          <w:lang w:val="es-ES_tradnl"/>
        </w:rPr>
      </w:pPr>
      <w:r w:rsidRPr="00231CC5">
        <w:rPr>
          <w:sz w:val="22"/>
          <w:szCs w:val="22"/>
          <w:highlight w:val="lightGray"/>
        </w:rPr>
        <w:t>sea inferior a</w:t>
      </w:r>
      <w:r w:rsidR="004E3C59" w:rsidRPr="00231CC5">
        <w:rPr>
          <w:sz w:val="22"/>
          <w:szCs w:val="22"/>
          <w:highlight w:val="lightGray"/>
        </w:rPr>
        <w:t xml:space="preserve"> 100.000</w:t>
      </w:r>
      <w:r w:rsidR="005D6248" w:rsidRPr="00231CC5">
        <w:rPr>
          <w:sz w:val="22"/>
          <w:szCs w:val="22"/>
          <w:highlight w:val="lightGray"/>
        </w:rPr>
        <w:t xml:space="preserve"> </w:t>
      </w:r>
      <w:r w:rsidR="004B660B" w:rsidRPr="00231CC5">
        <w:rPr>
          <w:sz w:val="22"/>
          <w:szCs w:val="22"/>
          <w:highlight w:val="lightGray"/>
        </w:rPr>
        <w:t>EUR</w:t>
      </w:r>
      <w:r w:rsidR="004E3C59" w:rsidRPr="00231CC5">
        <w:rPr>
          <w:sz w:val="22"/>
          <w:szCs w:val="22"/>
          <w:highlight w:val="lightGray"/>
        </w:rPr>
        <w:t>.</w:t>
      </w:r>
    </w:p>
    <w:p w:rsidR="00E10D0D" w:rsidRPr="00231CC5" w:rsidRDefault="00E10D0D" w:rsidP="0071615E">
      <w:pPr>
        <w:pStyle w:val="Heading2"/>
        <w:keepNext w:val="0"/>
        <w:numPr>
          <w:ilvl w:val="1"/>
          <w:numId w:val="0"/>
        </w:numPr>
        <w:spacing w:before="120" w:after="120"/>
        <w:ind w:left="1440"/>
        <w:rPr>
          <w:rFonts w:ascii="Times New Roman" w:hAnsi="Times New Roman"/>
          <w:b w:val="0"/>
          <w:sz w:val="22"/>
          <w:szCs w:val="22"/>
          <w:lang w:val="es-ES_tradnl"/>
        </w:rPr>
      </w:pPr>
      <w:r w:rsidRPr="00231CC5">
        <w:rPr>
          <w:rFonts w:ascii="Times New Roman" w:hAnsi="Times New Roman"/>
          <w:b w:val="0"/>
          <w:sz w:val="22"/>
          <w:szCs w:val="22"/>
          <w:highlight w:val="lightGray"/>
          <w:lang w:val="es-ES_tradnl"/>
        </w:rPr>
        <w:t>Una categoría de bienes similares que deban adquirirse no se desglosará en más de una partida de [</w:t>
      </w:r>
      <w:r w:rsidRPr="00231CC5">
        <w:rPr>
          <w:rFonts w:ascii="Times New Roman" w:hAnsi="Times New Roman"/>
          <w:b w:val="0"/>
          <w:sz w:val="22"/>
          <w:szCs w:val="22"/>
          <w:highlight w:val="yellow"/>
          <w:lang w:val="es-ES_tradnl"/>
        </w:rPr>
        <w:t>para los contratos de precio unitario</w:t>
      </w:r>
      <w:r w:rsidRPr="00231CC5">
        <w:rPr>
          <w:rFonts w:ascii="Times New Roman" w:hAnsi="Times New Roman"/>
          <w:b w:val="0"/>
          <w:sz w:val="22"/>
          <w:szCs w:val="22"/>
          <w:highlight w:val="lightGray"/>
          <w:lang w:val="es-ES_tradnl"/>
        </w:rPr>
        <w:t xml:space="preserve">: la </w:t>
      </w:r>
      <w:r w:rsidR="004B660B" w:rsidRPr="00231CC5">
        <w:rPr>
          <w:rFonts w:ascii="Times New Roman" w:hAnsi="Times New Roman"/>
          <w:b w:val="0"/>
          <w:sz w:val="22"/>
          <w:szCs w:val="22"/>
          <w:highlight w:val="lightGray"/>
          <w:lang w:val="es-ES_tradnl"/>
        </w:rPr>
        <w:t>r</w:t>
      </w:r>
      <w:r w:rsidRPr="00231CC5">
        <w:rPr>
          <w:rFonts w:ascii="Times New Roman" w:hAnsi="Times New Roman"/>
          <w:b w:val="0"/>
          <w:sz w:val="22"/>
          <w:szCs w:val="22"/>
          <w:highlight w:val="lightGray"/>
          <w:lang w:val="es-ES_tradnl"/>
        </w:rPr>
        <w:t>elación de cantidades (Volumen 4.3.2)]</w:t>
      </w:r>
      <w:r w:rsidR="005D6248" w:rsidRPr="00231CC5">
        <w:rPr>
          <w:rFonts w:ascii="Times New Roman" w:hAnsi="Times New Roman"/>
          <w:b w:val="0"/>
          <w:sz w:val="22"/>
          <w:szCs w:val="22"/>
          <w:highlight w:val="lightGray"/>
          <w:lang w:val="es-ES_tradnl"/>
        </w:rPr>
        <w:t xml:space="preserve"> </w:t>
      </w:r>
      <w:r w:rsidRPr="00231CC5">
        <w:rPr>
          <w:rFonts w:ascii="Times New Roman" w:hAnsi="Times New Roman"/>
          <w:b w:val="0"/>
          <w:sz w:val="22"/>
          <w:szCs w:val="22"/>
          <w:highlight w:val="lightGray"/>
          <w:lang w:val="es-ES_tradnl"/>
        </w:rPr>
        <w:t>[</w:t>
      </w:r>
      <w:r w:rsidRPr="00231CC5">
        <w:rPr>
          <w:rFonts w:ascii="Times New Roman" w:hAnsi="Times New Roman"/>
          <w:b w:val="0"/>
          <w:sz w:val="22"/>
          <w:szCs w:val="22"/>
          <w:highlight w:val="yellow"/>
          <w:lang w:val="es-ES_tradnl"/>
        </w:rPr>
        <w:t>para los contratos por cantidades fijas únicas</w:t>
      </w:r>
      <w:r w:rsidRPr="00231CC5">
        <w:rPr>
          <w:rFonts w:ascii="Times New Roman" w:hAnsi="Times New Roman"/>
          <w:b w:val="0"/>
          <w:sz w:val="22"/>
          <w:szCs w:val="22"/>
          <w:highlight w:val="lightGray"/>
          <w:lang w:val="es-ES_tradnl"/>
        </w:rPr>
        <w:t xml:space="preserve">: el </w:t>
      </w:r>
      <w:r w:rsidR="004B660B" w:rsidRPr="00231CC5">
        <w:rPr>
          <w:rFonts w:ascii="Times New Roman" w:hAnsi="Times New Roman"/>
          <w:b w:val="0"/>
          <w:sz w:val="22"/>
          <w:szCs w:val="22"/>
          <w:highlight w:val="lightGray"/>
          <w:lang w:val="es-ES_tradnl"/>
        </w:rPr>
        <w:t>d</w:t>
      </w:r>
      <w:r w:rsidRPr="00231CC5">
        <w:rPr>
          <w:rFonts w:ascii="Times New Roman" w:hAnsi="Times New Roman"/>
          <w:b w:val="0"/>
          <w:sz w:val="22"/>
          <w:szCs w:val="22"/>
          <w:highlight w:val="lightGray"/>
          <w:lang w:val="es-ES_tradnl"/>
        </w:rPr>
        <w:t>esglose del precio fijo único (Volumen 4.2.3)]</w:t>
      </w:r>
      <w:r w:rsidRPr="00231CC5">
        <w:rPr>
          <w:rFonts w:ascii="Times New Roman" w:hAnsi="Times New Roman"/>
          <w:b w:val="0"/>
          <w:sz w:val="22"/>
          <w:szCs w:val="22"/>
        </w:rPr>
        <w:t>]</w:t>
      </w:r>
    </w:p>
    <w:p w:rsidR="001050EE" w:rsidRPr="00A12DBD" w:rsidRDefault="001050EE" w:rsidP="00E10D0D">
      <w:pPr>
        <w:pStyle w:val="Heading2"/>
        <w:keepNext w:val="0"/>
        <w:numPr>
          <w:ilvl w:val="1"/>
          <w:numId w:val="0"/>
        </w:numPr>
        <w:spacing w:before="120" w:after="120"/>
        <w:ind w:left="1276"/>
        <w:rPr>
          <w:rFonts w:ascii="Times New Roman" w:hAnsi="Times New Roman"/>
          <w:b w:val="0"/>
          <w:sz w:val="22"/>
          <w:szCs w:val="22"/>
        </w:rPr>
      </w:pPr>
      <w:r>
        <w:rPr>
          <w:rFonts w:ascii="Times New Roman" w:hAnsi="Times New Roman"/>
          <w:b w:val="0"/>
          <w:sz w:val="22"/>
        </w:rPr>
        <w:t xml:space="preserve">En este contexto, se entenderá por «origen» el lugar donde los bienes fueron extraídos, cultivados, producidos o fabricados y/o </w:t>
      </w:r>
      <w:r w:rsidR="004B660B">
        <w:rPr>
          <w:rFonts w:ascii="Times New Roman" w:hAnsi="Times New Roman"/>
          <w:b w:val="0"/>
          <w:sz w:val="22"/>
        </w:rPr>
        <w:t>desde el que</w:t>
      </w:r>
      <w:r>
        <w:rPr>
          <w:rFonts w:ascii="Times New Roman" w:hAnsi="Times New Roman"/>
          <w:b w:val="0"/>
          <w:sz w:val="22"/>
        </w:rPr>
        <w:t xml:space="preserve"> se prestaron servicios. El origen de los bienes se establece de acuerdo </w:t>
      </w:r>
      <w:r w:rsidR="00CA2F80">
        <w:rPr>
          <w:rFonts w:ascii="Times New Roman" w:hAnsi="Times New Roman"/>
          <w:b w:val="0"/>
          <w:sz w:val="22"/>
        </w:rPr>
        <w:t>con el</w:t>
      </w:r>
      <w:r>
        <w:rPr>
          <w:rFonts w:ascii="Times New Roman" w:hAnsi="Times New Roman"/>
          <w:b w:val="0"/>
          <w:sz w:val="22"/>
        </w:rPr>
        <w:t xml:space="preserve"> Código Aduanero de la UE o los acuerdos internacionales aplicables.</w:t>
      </w:r>
    </w:p>
    <w:p w:rsidR="001050EE" w:rsidRPr="00A12DBD" w:rsidRDefault="001050EE" w:rsidP="00A12DBD">
      <w:pPr>
        <w:pStyle w:val="Heading2"/>
        <w:keepNext w:val="0"/>
        <w:numPr>
          <w:ilvl w:val="1"/>
          <w:numId w:val="0"/>
        </w:numPr>
        <w:spacing w:before="120" w:after="120"/>
        <w:ind w:left="1276"/>
        <w:rPr>
          <w:rFonts w:ascii="Times New Roman" w:hAnsi="Times New Roman"/>
          <w:b w:val="0"/>
          <w:sz w:val="22"/>
          <w:szCs w:val="22"/>
        </w:rPr>
      </w:pPr>
      <w:r>
        <w:rPr>
          <w:rFonts w:ascii="Times New Roman" w:hAnsi="Times New Roman"/>
          <w:b w:val="0"/>
          <w:sz w:val="22"/>
        </w:rPr>
        <w:t>[</w:t>
      </w:r>
      <w:r>
        <w:rPr>
          <w:rFonts w:ascii="Times New Roman" w:hAnsi="Times New Roman"/>
          <w:b w:val="0"/>
          <w:sz w:val="22"/>
          <w:highlight w:val="yellow"/>
        </w:rPr>
        <w:t>FED:</w:t>
      </w:r>
      <w:r>
        <w:rPr>
          <w:rFonts w:ascii="Times New Roman" w:hAnsi="Times New Roman"/>
          <w:b w:val="0"/>
          <w:sz w:val="22"/>
        </w:rPr>
        <w:t xml:space="preserve"> </w:t>
      </w:r>
      <w:r w:rsidRPr="00E10D0D">
        <w:rPr>
          <w:rFonts w:ascii="Times New Roman" w:hAnsi="Times New Roman"/>
          <w:b w:val="0"/>
          <w:sz w:val="22"/>
          <w:highlight w:val="lightGray"/>
        </w:rPr>
        <w:t xml:space="preserve">Los bienes originarios de la UE comprenderán los suministros que procedan de los territorios y países de </w:t>
      </w:r>
      <w:r w:rsidR="00B36FB5">
        <w:rPr>
          <w:rFonts w:ascii="Times New Roman" w:hAnsi="Times New Roman"/>
          <w:b w:val="0"/>
          <w:sz w:val="22"/>
          <w:highlight w:val="lightGray"/>
        </w:rPr>
        <w:t>ul</w:t>
      </w:r>
      <w:r w:rsidRPr="00E10D0D">
        <w:rPr>
          <w:rFonts w:ascii="Times New Roman" w:hAnsi="Times New Roman"/>
          <w:b w:val="0"/>
          <w:sz w:val="22"/>
          <w:highlight w:val="lightGray"/>
        </w:rPr>
        <w:t>tramar</w:t>
      </w:r>
      <w:r>
        <w:rPr>
          <w:rFonts w:ascii="Times New Roman" w:hAnsi="Times New Roman"/>
          <w:b w:val="0"/>
          <w:sz w:val="22"/>
        </w:rPr>
        <w:t>.]</w:t>
      </w:r>
    </w:p>
    <w:p w:rsidR="001050EE" w:rsidRPr="00E725FE" w:rsidRDefault="001050EE" w:rsidP="00A12DBD">
      <w:pPr>
        <w:spacing w:after="120"/>
        <w:ind w:left="1276"/>
        <w:jc w:val="both"/>
        <w:rPr>
          <w:sz w:val="22"/>
          <w:szCs w:val="22"/>
        </w:rPr>
      </w:pPr>
      <w:r>
        <w:rPr>
          <w:sz w:val="22"/>
        </w:rPr>
        <w:t>&lt;</w:t>
      </w:r>
      <w:r>
        <w:rPr>
          <w:sz w:val="22"/>
          <w:highlight w:val="yellow"/>
        </w:rPr>
        <w:t>Especifíquense las posibles excepciones autorizadas de las normas de origen</w:t>
      </w:r>
      <w:r>
        <w:rPr>
          <w:sz w:val="22"/>
        </w:rPr>
        <w:t>&gt;</w:t>
      </w:r>
    </w:p>
    <w:p w:rsidR="001050EE" w:rsidRDefault="001050EE" w:rsidP="00A12DBD">
      <w:pPr>
        <w:spacing w:after="120"/>
        <w:ind w:left="1276"/>
        <w:jc w:val="both"/>
        <w:rPr>
          <w:sz w:val="22"/>
        </w:rPr>
      </w:pPr>
      <w:r>
        <w:rPr>
          <w:sz w:val="22"/>
        </w:rPr>
        <w:t xml:space="preserve">Cuando se importen bienes deberá informarse de cualquier cambio en el origen especificado al </w:t>
      </w:r>
      <w:r w:rsidR="002C30FD">
        <w:rPr>
          <w:sz w:val="22"/>
        </w:rPr>
        <w:t>supervisor</w:t>
      </w:r>
      <w:r>
        <w:rPr>
          <w:sz w:val="22"/>
        </w:rPr>
        <w:t xml:space="preserve"> del proyecto, el cual deberá aprobarlo.</w:t>
      </w:r>
    </w:p>
    <w:p w:rsidR="001050EE" w:rsidRPr="00A12DBD" w:rsidRDefault="001050EE" w:rsidP="00A12DBD">
      <w:pPr>
        <w:spacing w:before="120" w:after="120"/>
        <w:ind w:left="1276" w:hanging="709"/>
        <w:jc w:val="both"/>
        <w:rPr>
          <w:sz w:val="22"/>
          <w:szCs w:val="22"/>
        </w:rPr>
      </w:pPr>
      <w:r>
        <w:rPr>
          <w:sz w:val="22"/>
        </w:rPr>
        <w:t>40.2</w:t>
      </w:r>
      <w:r>
        <w:tab/>
      </w:r>
      <w:r>
        <w:rPr>
          <w:sz w:val="22"/>
        </w:rPr>
        <w:t>Las obras y los objetos, dispositivos, equipos o materiales utilizados en la construcción deberán cumplir:</w:t>
      </w:r>
    </w:p>
    <w:p w:rsidR="001050EE" w:rsidRPr="00E725FE" w:rsidRDefault="001050EE" w:rsidP="00A12DBD">
      <w:pPr>
        <w:ind w:left="1701" w:hanging="425"/>
        <w:jc w:val="both"/>
        <w:rPr>
          <w:sz w:val="22"/>
          <w:szCs w:val="22"/>
        </w:rPr>
      </w:pPr>
      <w:r>
        <w:rPr>
          <w:sz w:val="22"/>
        </w:rPr>
        <w:t>(*)</w:t>
      </w:r>
      <w:r>
        <w:tab/>
      </w:r>
      <w:r>
        <w:rPr>
          <w:sz w:val="22"/>
        </w:rPr>
        <w:t xml:space="preserve">las siguientes especificaciones &lt; </w:t>
      </w:r>
      <w:r>
        <w:rPr>
          <w:sz w:val="22"/>
          <w:highlight w:val="yellow"/>
        </w:rPr>
        <w:t>Indicar las especificaciones</w:t>
      </w:r>
      <w:r>
        <w:rPr>
          <w:sz w:val="22"/>
        </w:rPr>
        <w:t>.&gt;</w:t>
      </w:r>
    </w:p>
    <w:p w:rsidR="001050EE" w:rsidRPr="00E725FE" w:rsidRDefault="00A12DBD" w:rsidP="00A12DBD">
      <w:pPr>
        <w:ind w:left="1701" w:hanging="425"/>
        <w:jc w:val="both"/>
        <w:rPr>
          <w:sz w:val="22"/>
          <w:szCs w:val="22"/>
        </w:rPr>
      </w:pPr>
      <w:r>
        <w:rPr>
          <w:sz w:val="22"/>
        </w:rPr>
        <w:t>(*)</w:t>
      </w:r>
      <w:r>
        <w:tab/>
      </w:r>
      <w:r>
        <w:rPr>
          <w:sz w:val="22"/>
        </w:rPr>
        <w:t xml:space="preserve">los requisitos de &lt; </w:t>
      </w:r>
      <w:r>
        <w:rPr>
          <w:sz w:val="22"/>
          <w:highlight w:val="yellow"/>
        </w:rPr>
        <w:t>Especifíquense los documentos técnicos en los que se incluyen dichas condiciones</w:t>
      </w:r>
      <w:r>
        <w:rPr>
          <w:sz w:val="22"/>
        </w:rPr>
        <w:t>.&gt;</w:t>
      </w:r>
    </w:p>
    <w:p w:rsidR="001050EE" w:rsidRPr="00A12DBD" w:rsidRDefault="001050EE" w:rsidP="00A12DBD">
      <w:pPr>
        <w:spacing w:before="120" w:after="120"/>
        <w:ind w:left="1276" w:hanging="709"/>
        <w:jc w:val="both"/>
        <w:rPr>
          <w:bCs/>
          <w:sz w:val="22"/>
          <w:szCs w:val="22"/>
        </w:rPr>
      </w:pPr>
      <w:r>
        <w:rPr>
          <w:sz w:val="22"/>
        </w:rPr>
        <w:t>40.3</w:t>
      </w:r>
      <w:r>
        <w:tab/>
      </w:r>
      <w:r>
        <w:rPr>
          <w:sz w:val="22"/>
        </w:rPr>
        <w:t>&lt;</w:t>
      </w:r>
      <w:r>
        <w:rPr>
          <w:sz w:val="22"/>
          <w:highlight w:val="yellow"/>
        </w:rPr>
        <w:t>Especifíquese si se requiere una recepción técnica preliminar y en qué condiciones se realizará</w:t>
      </w:r>
      <w:r>
        <w:rPr>
          <w:sz w:val="22"/>
        </w:rPr>
        <w:t>.&gt;</w:t>
      </w:r>
    </w:p>
    <w:p w:rsidR="001050EE" w:rsidRPr="00116CA6" w:rsidRDefault="001050EE" w:rsidP="00A12DBD">
      <w:pPr>
        <w:spacing w:before="240"/>
        <w:ind w:left="1276" w:hanging="1276"/>
        <w:jc w:val="both"/>
        <w:rPr>
          <w:b/>
          <w:szCs w:val="24"/>
        </w:rPr>
      </w:pPr>
      <w:bookmarkStart w:id="27" w:name="_Toc76894436"/>
      <w:r>
        <w:rPr>
          <w:b/>
        </w:rPr>
        <w:t>Cláusula 41</w:t>
      </w:r>
      <w:r>
        <w:tab/>
      </w:r>
      <w:r w:rsidR="008133C4">
        <w:tab/>
      </w:r>
      <w:r>
        <w:rPr>
          <w:b/>
        </w:rPr>
        <w:t>Inspección y pruebas</w:t>
      </w:r>
      <w:bookmarkEnd w:id="27"/>
    </w:p>
    <w:p w:rsidR="001050EE" w:rsidRPr="00E725FE" w:rsidRDefault="001050EE" w:rsidP="00A12DBD">
      <w:pPr>
        <w:spacing w:before="120" w:after="120"/>
        <w:jc w:val="both"/>
        <w:rPr>
          <w:b/>
          <w:bCs/>
          <w:sz w:val="22"/>
          <w:szCs w:val="22"/>
        </w:rPr>
      </w:pPr>
      <w:r>
        <w:rPr>
          <w:sz w:val="22"/>
        </w:rPr>
        <w:t>&lt;</w:t>
      </w:r>
      <w:r>
        <w:rPr>
          <w:sz w:val="22"/>
          <w:highlight w:val="yellow"/>
        </w:rPr>
        <w:t>Especifíquese qué lugares deben ser objeto de inspección y pruebas de conformidad con la cláusula 41 de las Condiciones Generales, así como los mecanismos para la realización de las pruebas</w:t>
      </w:r>
      <w:r>
        <w:rPr>
          <w:sz w:val="22"/>
        </w:rPr>
        <w:t>.&gt;</w:t>
      </w:r>
    </w:p>
    <w:p w:rsidR="001050EE" w:rsidRPr="00116CA6" w:rsidRDefault="001050EE" w:rsidP="00116CA6">
      <w:pPr>
        <w:spacing w:before="240"/>
        <w:ind w:left="1276" w:hanging="1276"/>
        <w:jc w:val="both"/>
        <w:rPr>
          <w:b/>
          <w:szCs w:val="24"/>
        </w:rPr>
      </w:pPr>
      <w:bookmarkStart w:id="28" w:name="_Toc76894437"/>
      <w:r>
        <w:rPr>
          <w:b/>
        </w:rPr>
        <w:t>Cláusula 43</w:t>
      </w:r>
      <w:r>
        <w:tab/>
      </w:r>
      <w:r w:rsidR="008133C4">
        <w:tab/>
      </w:r>
      <w:r>
        <w:rPr>
          <w:b/>
        </w:rPr>
        <w:t>Propiedad de las instalaciones y los materiales</w:t>
      </w:r>
      <w:bookmarkEnd w:id="28"/>
    </w:p>
    <w:p w:rsidR="001050EE" w:rsidRPr="00A12DBD" w:rsidRDefault="001050EE" w:rsidP="00A12DBD">
      <w:pPr>
        <w:spacing w:before="120" w:after="120"/>
        <w:ind w:left="1276" w:hanging="709"/>
        <w:jc w:val="both"/>
        <w:rPr>
          <w:bCs/>
          <w:sz w:val="22"/>
          <w:szCs w:val="22"/>
        </w:rPr>
      </w:pPr>
      <w:r>
        <w:rPr>
          <w:sz w:val="22"/>
        </w:rPr>
        <w:t>43.2</w:t>
      </w:r>
      <w:r>
        <w:tab/>
      </w:r>
      <w:r>
        <w:rPr>
          <w:sz w:val="22"/>
        </w:rPr>
        <w:t>&lt;</w:t>
      </w:r>
      <w:r>
        <w:rPr>
          <w:sz w:val="22"/>
          <w:highlight w:val="yellow"/>
        </w:rPr>
        <w:t>Especifíquese si el equipo, las estructuras temporales, las instalaciones y los materiales del emplazamiento pertenecen al Órgano de Contratación en virtud de la cláusula</w:t>
      </w:r>
      <w:r w:rsidR="005D6248">
        <w:rPr>
          <w:sz w:val="22"/>
          <w:highlight w:val="yellow"/>
        </w:rPr>
        <w:t xml:space="preserve"> </w:t>
      </w:r>
      <w:r>
        <w:rPr>
          <w:sz w:val="22"/>
          <w:highlight w:val="yellow"/>
        </w:rPr>
        <w:t xml:space="preserve">43 de las Condiciones Generales y </w:t>
      </w:r>
      <w:r w:rsidR="00E63ABD">
        <w:rPr>
          <w:sz w:val="22"/>
          <w:highlight w:val="yellow"/>
        </w:rPr>
        <w:t>del (</w:t>
      </w:r>
      <w:r>
        <w:rPr>
          <w:sz w:val="22"/>
          <w:highlight w:val="yellow"/>
        </w:rPr>
        <w:t>de los) instrumento(s) jurídico(s) utilizado(s)</w:t>
      </w:r>
      <w:r>
        <w:rPr>
          <w:sz w:val="22"/>
        </w:rPr>
        <w:t>.&gt;</w:t>
      </w:r>
    </w:p>
    <w:p w:rsidR="001050EE" w:rsidRPr="00116CA6" w:rsidRDefault="001050EE" w:rsidP="00116CA6">
      <w:pPr>
        <w:spacing w:before="240"/>
        <w:ind w:left="1276" w:hanging="1276"/>
        <w:jc w:val="both"/>
        <w:rPr>
          <w:b/>
          <w:szCs w:val="24"/>
        </w:rPr>
      </w:pPr>
      <w:bookmarkStart w:id="29" w:name="_Toc76894438"/>
      <w:r>
        <w:rPr>
          <w:b/>
        </w:rPr>
        <w:t>Cláusula 44</w:t>
      </w:r>
      <w:r>
        <w:tab/>
      </w:r>
      <w:r w:rsidR="008133C4">
        <w:tab/>
      </w:r>
      <w:r>
        <w:rPr>
          <w:b/>
        </w:rPr>
        <w:t>Principios generales de pago</w:t>
      </w:r>
      <w:bookmarkEnd w:id="29"/>
    </w:p>
    <w:p w:rsidR="001050EE" w:rsidRPr="00A12DBD" w:rsidRDefault="001050EE" w:rsidP="00A12DBD">
      <w:pPr>
        <w:tabs>
          <w:tab w:val="right" w:pos="9885"/>
        </w:tabs>
        <w:spacing w:before="120" w:after="120"/>
        <w:ind w:left="1276" w:hanging="709"/>
        <w:jc w:val="both"/>
        <w:rPr>
          <w:sz w:val="22"/>
          <w:szCs w:val="22"/>
        </w:rPr>
      </w:pPr>
      <w:r>
        <w:rPr>
          <w:sz w:val="22"/>
        </w:rPr>
        <w:t>44.1</w:t>
      </w:r>
      <w:r>
        <w:tab/>
      </w:r>
      <w:r>
        <w:rPr>
          <w:sz w:val="22"/>
        </w:rPr>
        <w:t xml:space="preserve">Los pagos se efectuarán en </w:t>
      </w:r>
      <w:r w:rsidR="005C4F2D">
        <w:rPr>
          <w:sz w:val="22"/>
          <w:szCs w:val="22"/>
        </w:rPr>
        <w:t>[</w:t>
      </w:r>
      <w:r w:rsidR="005C4F2D">
        <w:rPr>
          <w:sz w:val="22"/>
          <w:szCs w:val="22"/>
          <w:highlight w:val="lightGray"/>
        </w:rPr>
        <w:t>EUR</w:t>
      </w:r>
      <w:r w:rsidR="005C4F2D">
        <w:rPr>
          <w:sz w:val="22"/>
          <w:szCs w:val="22"/>
          <w:highlight w:val="yellow"/>
        </w:rPr>
        <w:t>] [&lt;</w:t>
      </w:r>
      <w:r w:rsidR="005C4F2D">
        <w:rPr>
          <w:sz w:val="22"/>
          <w:highlight w:val="yellow"/>
        </w:rPr>
        <w:t>moneda nacional</w:t>
      </w:r>
      <w:r w:rsidR="005C4F2D" w:rsidRPr="007E2713">
        <w:rPr>
          <w:sz w:val="22"/>
          <w:szCs w:val="22"/>
          <w:highlight w:val="yellow"/>
        </w:rPr>
        <w:t xml:space="preserve">&gt; </w:t>
      </w:r>
      <w:r w:rsidR="005C4F2D">
        <w:rPr>
          <w:sz w:val="22"/>
          <w:szCs w:val="22"/>
          <w:highlight w:val="yellow"/>
        </w:rPr>
        <w:t>solo para la gestión</w:t>
      </w:r>
      <w:r w:rsidR="005C4F2D" w:rsidRPr="007E2713">
        <w:rPr>
          <w:sz w:val="22"/>
          <w:szCs w:val="22"/>
          <w:highlight w:val="yellow"/>
        </w:rPr>
        <w:t xml:space="preserve"> indirecta</w:t>
      </w:r>
      <w:r w:rsidR="005C4F2D">
        <w:rPr>
          <w:sz w:val="22"/>
          <w:szCs w:val="22"/>
        </w:rPr>
        <w:t>]</w:t>
      </w:r>
      <w:r>
        <w:rPr>
          <w:sz w:val="22"/>
        </w:rPr>
        <w:t xml:space="preserve">. </w:t>
      </w:r>
    </w:p>
    <w:p w:rsidR="001050EE" w:rsidRPr="00A12DBD" w:rsidRDefault="001050EE" w:rsidP="00A12DBD">
      <w:pPr>
        <w:spacing w:before="120" w:after="120"/>
        <w:ind w:left="1276" w:hanging="709"/>
        <w:jc w:val="both"/>
        <w:rPr>
          <w:sz w:val="22"/>
          <w:szCs w:val="22"/>
        </w:rPr>
      </w:pPr>
      <w:r>
        <w:rPr>
          <w:sz w:val="22"/>
        </w:rPr>
        <w:lastRenderedPageBreak/>
        <w:t>44.2</w:t>
      </w:r>
      <w:r>
        <w:tab/>
      </w:r>
      <w:r>
        <w:rPr>
          <w:sz w:val="22"/>
        </w:rPr>
        <w:t xml:space="preserve">Cuando las facturas se presenten ante el Órgano de Contratación, el </w:t>
      </w:r>
      <w:r w:rsidR="002C30FD">
        <w:rPr>
          <w:sz w:val="22"/>
        </w:rPr>
        <w:t>contratista</w:t>
      </w:r>
      <w:r>
        <w:rPr>
          <w:sz w:val="22"/>
        </w:rPr>
        <w:t xml:space="preserve"> deberá informar de ello a la Comisión Europea enviando una copia </w:t>
      </w:r>
      <w:r w:rsidRPr="005C4F2D">
        <w:rPr>
          <w:sz w:val="22"/>
        </w:rPr>
        <w:t>a &lt;</w:t>
      </w:r>
      <w:r>
        <w:rPr>
          <w:sz w:val="22"/>
          <w:highlight w:val="yellow"/>
        </w:rPr>
        <w:t>indíquese la dirección de la Delegación si se recurre a esta opción</w:t>
      </w:r>
      <w:r w:rsidRPr="005C4F2D">
        <w:rPr>
          <w:sz w:val="22"/>
        </w:rPr>
        <w:t>&gt;.</w:t>
      </w:r>
    </w:p>
    <w:p w:rsidR="00B47A2A" w:rsidRPr="00A12DBD" w:rsidRDefault="00B47A2A" w:rsidP="00A12DBD">
      <w:pPr>
        <w:spacing w:before="120" w:after="120"/>
        <w:ind w:left="1276" w:hanging="709"/>
        <w:jc w:val="both"/>
        <w:rPr>
          <w:sz w:val="22"/>
          <w:szCs w:val="22"/>
        </w:rPr>
      </w:pPr>
      <w:r>
        <w:rPr>
          <w:sz w:val="22"/>
        </w:rPr>
        <w:t>44.3</w:t>
      </w:r>
      <w:r>
        <w:tab/>
      </w:r>
      <w:r>
        <w:rPr>
          <w:sz w:val="22"/>
        </w:rPr>
        <w:t>[</w:t>
      </w:r>
      <w:r>
        <w:rPr>
          <w:sz w:val="22"/>
          <w:highlight w:val="yellow"/>
        </w:rPr>
        <w:t>Solo para el P</w:t>
      </w:r>
      <w:r w:rsidR="00EE6E3C">
        <w:rPr>
          <w:sz w:val="22"/>
          <w:highlight w:val="yellow"/>
        </w:rPr>
        <w:t>resupuesto general de la Unión</w:t>
      </w:r>
      <w:r>
        <w:rPr>
          <w:sz w:val="22"/>
          <w:highlight w:val="yellow"/>
        </w:rPr>
        <w:t>:</w:t>
      </w:r>
    </w:p>
    <w:p w:rsidR="00A12DBD" w:rsidRDefault="00FB0C97" w:rsidP="00A12DBD">
      <w:pPr>
        <w:spacing w:before="120"/>
        <w:ind w:left="1276"/>
        <w:jc w:val="both"/>
        <w:rPr>
          <w:sz w:val="22"/>
          <w:szCs w:val="22"/>
        </w:rPr>
      </w:pPr>
      <w:r>
        <w:rPr>
          <w:sz w:val="22"/>
          <w:szCs w:val="22"/>
          <w:highlight w:val="yellow"/>
        </w:rPr>
        <w:t>[</w:t>
      </w:r>
      <w:r w:rsidR="00B47A2A">
        <w:rPr>
          <w:sz w:val="22"/>
          <w:highlight w:val="yellow"/>
        </w:rPr>
        <w:t>Opción 1 – Gestión indirecta</w:t>
      </w:r>
      <w:r w:rsidR="00B47A2A">
        <w:rPr>
          <w:sz w:val="22"/>
        </w:rPr>
        <w:t xml:space="preserve">: </w:t>
      </w:r>
    </w:p>
    <w:p w:rsidR="00B47A2A" w:rsidRPr="00B47A2A" w:rsidRDefault="00B47A2A" w:rsidP="00A12DBD">
      <w:pPr>
        <w:ind w:left="1276"/>
        <w:jc w:val="both"/>
        <w:rPr>
          <w:sz w:val="22"/>
          <w:szCs w:val="22"/>
        </w:rPr>
      </w:pPr>
      <w:r w:rsidRPr="005C4F2D">
        <w:rPr>
          <w:sz w:val="22"/>
          <w:highlight w:val="lightGray"/>
        </w:rPr>
        <w:t xml:space="preserve">Como excepción, el pago de prefinanciación al </w:t>
      </w:r>
      <w:r w:rsidR="002C30FD">
        <w:rPr>
          <w:sz w:val="22"/>
          <w:highlight w:val="lightGray"/>
        </w:rPr>
        <w:t>contratista</w:t>
      </w:r>
      <w:r w:rsidRPr="005C4F2D">
        <w:rPr>
          <w:sz w:val="22"/>
          <w:highlight w:val="lightGray"/>
        </w:rPr>
        <w:t xml:space="preserve"> por el anticipo de una cantidad fija única se efectuará en el plazo de </w:t>
      </w:r>
      <w:r w:rsidR="00CA2F80">
        <w:rPr>
          <w:sz w:val="22"/>
          <w:highlight w:val="lightGray"/>
        </w:rPr>
        <w:t>30</w:t>
      </w:r>
      <w:r w:rsidRPr="005C4F2D">
        <w:rPr>
          <w:sz w:val="22"/>
          <w:highlight w:val="lightGray"/>
        </w:rPr>
        <w:t xml:space="preserve"> días. Los demás pagos de prefinanciación al </w:t>
      </w:r>
      <w:r w:rsidR="002C30FD">
        <w:rPr>
          <w:sz w:val="22"/>
          <w:highlight w:val="lightGray"/>
        </w:rPr>
        <w:t>contratista</w:t>
      </w:r>
      <w:r w:rsidRPr="005C4F2D">
        <w:rPr>
          <w:sz w:val="22"/>
          <w:highlight w:val="lightGray"/>
        </w:rPr>
        <w:t xml:space="preserve"> deberán realizarse en un plazo de </w:t>
      </w:r>
      <w:r w:rsidR="00CA2F80">
        <w:rPr>
          <w:sz w:val="22"/>
          <w:highlight w:val="lightGray"/>
        </w:rPr>
        <w:t>90</w:t>
      </w:r>
      <w:r w:rsidRPr="005C4F2D">
        <w:rPr>
          <w:sz w:val="22"/>
          <w:highlight w:val="lightGray"/>
        </w:rPr>
        <w:t xml:space="preserve"> días. Los pagos intermedios al </w:t>
      </w:r>
      <w:r w:rsidR="002C30FD">
        <w:rPr>
          <w:sz w:val="22"/>
          <w:highlight w:val="lightGray"/>
        </w:rPr>
        <w:t>contratista</w:t>
      </w:r>
      <w:r w:rsidRPr="005C4F2D">
        <w:rPr>
          <w:sz w:val="22"/>
          <w:highlight w:val="lightGray"/>
        </w:rPr>
        <w:t xml:space="preserve"> de los importes adeudados en virtud de los certificados de pago intermedios aprobados por el </w:t>
      </w:r>
      <w:r w:rsidR="002C30FD">
        <w:rPr>
          <w:sz w:val="22"/>
          <w:highlight w:val="lightGray"/>
        </w:rPr>
        <w:t>supervisor</w:t>
      </w:r>
      <w:r w:rsidRPr="005C4F2D">
        <w:rPr>
          <w:sz w:val="22"/>
          <w:highlight w:val="lightGray"/>
        </w:rPr>
        <w:t xml:space="preserve"> se efectuarán en un plazo de </w:t>
      </w:r>
      <w:r w:rsidR="00CA2F80">
        <w:rPr>
          <w:sz w:val="22"/>
          <w:highlight w:val="lightGray"/>
        </w:rPr>
        <w:t>90</w:t>
      </w:r>
      <w:r w:rsidRPr="005C4F2D">
        <w:rPr>
          <w:sz w:val="22"/>
          <w:highlight w:val="lightGray"/>
        </w:rPr>
        <w:t xml:space="preserve"> días, y el pago final al </w:t>
      </w:r>
      <w:r w:rsidR="002C30FD">
        <w:rPr>
          <w:sz w:val="22"/>
          <w:highlight w:val="lightGray"/>
        </w:rPr>
        <w:t>contratista</w:t>
      </w:r>
      <w:r w:rsidRPr="005C4F2D">
        <w:rPr>
          <w:sz w:val="22"/>
          <w:highlight w:val="lightGray"/>
        </w:rPr>
        <w:t xml:space="preserve"> de las cantidades adeudadas después de la liquidación definitiva expedida por el </w:t>
      </w:r>
      <w:r w:rsidR="002C30FD">
        <w:rPr>
          <w:sz w:val="22"/>
          <w:highlight w:val="lightGray"/>
        </w:rPr>
        <w:t>supervisor</w:t>
      </w:r>
      <w:r w:rsidRPr="005C4F2D">
        <w:rPr>
          <w:sz w:val="22"/>
          <w:highlight w:val="lightGray"/>
        </w:rPr>
        <w:t xml:space="preserve"> se efectuará en el plazo de </w:t>
      </w:r>
      <w:r w:rsidR="00CA2F80">
        <w:rPr>
          <w:sz w:val="22"/>
          <w:highlight w:val="lightGray"/>
        </w:rPr>
        <w:t>90</w:t>
      </w:r>
      <w:r w:rsidRPr="005C4F2D">
        <w:rPr>
          <w:sz w:val="22"/>
          <w:highlight w:val="lightGray"/>
        </w:rPr>
        <w:t xml:space="preserve"> días</w:t>
      </w:r>
      <w:r>
        <w:rPr>
          <w:sz w:val="22"/>
        </w:rPr>
        <w:t>.</w:t>
      </w:r>
      <w:r w:rsidR="005C4F2D">
        <w:rPr>
          <w:sz w:val="22"/>
          <w:szCs w:val="22"/>
        </w:rPr>
        <w:t>]</w:t>
      </w:r>
    </w:p>
    <w:p w:rsidR="00A12DBD" w:rsidRDefault="00FB0C97" w:rsidP="00A12DBD">
      <w:pPr>
        <w:spacing w:before="120"/>
        <w:ind w:left="1276"/>
        <w:jc w:val="both"/>
        <w:rPr>
          <w:sz w:val="22"/>
          <w:szCs w:val="22"/>
        </w:rPr>
      </w:pPr>
      <w:r>
        <w:rPr>
          <w:sz w:val="22"/>
          <w:szCs w:val="22"/>
          <w:highlight w:val="yellow"/>
        </w:rPr>
        <w:t>[</w:t>
      </w:r>
      <w:r w:rsidR="00B47A2A">
        <w:rPr>
          <w:sz w:val="22"/>
          <w:highlight w:val="yellow"/>
        </w:rPr>
        <w:t>Opción 2 – Gestión directa</w:t>
      </w:r>
      <w:r w:rsidR="00B47A2A">
        <w:rPr>
          <w:sz w:val="22"/>
        </w:rPr>
        <w:t xml:space="preserve">: </w:t>
      </w:r>
    </w:p>
    <w:p w:rsidR="00B47A2A" w:rsidRDefault="00B47A2A" w:rsidP="00A12DBD">
      <w:pPr>
        <w:ind w:left="1276"/>
        <w:jc w:val="both"/>
        <w:rPr>
          <w:sz w:val="22"/>
          <w:szCs w:val="22"/>
        </w:rPr>
      </w:pPr>
      <w:r w:rsidRPr="005C4F2D">
        <w:rPr>
          <w:sz w:val="22"/>
          <w:highlight w:val="lightGray"/>
        </w:rPr>
        <w:t xml:space="preserve">Como excepción, el pago de prefinanciación al </w:t>
      </w:r>
      <w:r w:rsidR="002C30FD">
        <w:rPr>
          <w:sz w:val="22"/>
          <w:highlight w:val="lightGray"/>
        </w:rPr>
        <w:t>contratista</w:t>
      </w:r>
      <w:r w:rsidRPr="005C4F2D">
        <w:rPr>
          <w:sz w:val="22"/>
          <w:highlight w:val="lightGray"/>
        </w:rPr>
        <w:t xml:space="preserve"> por el anticipo de una cantidad fija única se efectuará en el plazo de </w:t>
      </w:r>
      <w:r w:rsidR="00CA2F80">
        <w:rPr>
          <w:sz w:val="22"/>
          <w:highlight w:val="lightGray"/>
        </w:rPr>
        <w:t>30</w:t>
      </w:r>
      <w:r w:rsidRPr="005C4F2D">
        <w:rPr>
          <w:sz w:val="22"/>
          <w:highlight w:val="lightGray"/>
        </w:rPr>
        <w:t xml:space="preserve"> días. Los demás pagos de prefinanciación al </w:t>
      </w:r>
      <w:r w:rsidR="002C30FD">
        <w:rPr>
          <w:sz w:val="22"/>
          <w:highlight w:val="lightGray"/>
        </w:rPr>
        <w:t>contratista</w:t>
      </w:r>
      <w:r w:rsidRPr="005C4F2D">
        <w:rPr>
          <w:sz w:val="22"/>
          <w:highlight w:val="lightGray"/>
        </w:rPr>
        <w:t xml:space="preserve"> deberán realizarse en un plazo de </w:t>
      </w:r>
      <w:r w:rsidR="00CA2F80">
        <w:rPr>
          <w:sz w:val="22"/>
          <w:highlight w:val="lightGray"/>
        </w:rPr>
        <w:t>60</w:t>
      </w:r>
      <w:r w:rsidRPr="005C4F2D">
        <w:rPr>
          <w:sz w:val="22"/>
          <w:highlight w:val="lightGray"/>
        </w:rPr>
        <w:t xml:space="preserve"> días. Los pagos intermedios al </w:t>
      </w:r>
      <w:r w:rsidR="002C30FD">
        <w:rPr>
          <w:sz w:val="22"/>
          <w:highlight w:val="lightGray"/>
        </w:rPr>
        <w:t>contratista</w:t>
      </w:r>
      <w:r w:rsidRPr="005C4F2D">
        <w:rPr>
          <w:sz w:val="22"/>
          <w:highlight w:val="lightGray"/>
        </w:rPr>
        <w:t xml:space="preserve"> de los importes adeudados en virtud de los certificados de pago intermedios aprobados por el </w:t>
      </w:r>
      <w:r w:rsidR="002C30FD">
        <w:rPr>
          <w:sz w:val="22"/>
          <w:highlight w:val="lightGray"/>
        </w:rPr>
        <w:t>supervisor</w:t>
      </w:r>
      <w:r w:rsidRPr="005C4F2D">
        <w:rPr>
          <w:sz w:val="22"/>
          <w:highlight w:val="lightGray"/>
        </w:rPr>
        <w:t xml:space="preserve"> se efectuarán en un plazo de </w:t>
      </w:r>
      <w:r w:rsidR="00CA2F80">
        <w:rPr>
          <w:sz w:val="22"/>
          <w:highlight w:val="lightGray"/>
        </w:rPr>
        <w:t>60</w:t>
      </w:r>
      <w:r w:rsidRPr="005C4F2D">
        <w:rPr>
          <w:sz w:val="22"/>
          <w:highlight w:val="lightGray"/>
        </w:rPr>
        <w:t xml:space="preserve"> días, y el pago final al </w:t>
      </w:r>
      <w:r w:rsidR="002C30FD">
        <w:rPr>
          <w:sz w:val="22"/>
          <w:highlight w:val="lightGray"/>
        </w:rPr>
        <w:t>contratista</w:t>
      </w:r>
      <w:r w:rsidRPr="005C4F2D">
        <w:rPr>
          <w:sz w:val="22"/>
          <w:highlight w:val="lightGray"/>
        </w:rPr>
        <w:t xml:space="preserve"> de las cantidades adeudadas después de la liquidación definitiva expedida por el </w:t>
      </w:r>
      <w:r w:rsidR="002C30FD">
        <w:rPr>
          <w:sz w:val="22"/>
          <w:highlight w:val="lightGray"/>
        </w:rPr>
        <w:t>supervisor</w:t>
      </w:r>
      <w:r w:rsidRPr="005C4F2D">
        <w:rPr>
          <w:sz w:val="22"/>
          <w:highlight w:val="lightGray"/>
        </w:rPr>
        <w:t xml:space="preserve"> se efectuará en el plazo de </w:t>
      </w:r>
      <w:r w:rsidR="00CA2F80">
        <w:rPr>
          <w:sz w:val="22"/>
          <w:highlight w:val="lightGray"/>
        </w:rPr>
        <w:t>60</w:t>
      </w:r>
      <w:r w:rsidRPr="005C4F2D">
        <w:rPr>
          <w:sz w:val="22"/>
          <w:highlight w:val="lightGray"/>
        </w:rPr>
        <w:t xml:space="preserve"> días</w:t>
      </w:r>
      <w:r>
        <w:rPr>
          <w:sz w:val="22"/>
        </w:rPr>
        <w:t>.</w:t>
      </w:r>
      <w:r w:rsidR="005C4F2D" w:rsidRPr="00B47A2A">
        <w:rPr>
          <w:sz w:val="22"/>
          <w:szCs w:val="22"/>
        </w:rPr>
        <w:t>]</w:t>
      </w:r>
      <w:r w:rsidR="005C4F2D">
        <w:rPr>
          <w:sz w:val="22"/>
          <w:szCs w:val="22"/>
        </w:rPr>
        <w:t>]</w:t>
      </w:r>
    </w:p>
    <w:p w:rsidR="00B47A2A" w:rsidRPr="00116CA6" w:rsidRDefault="00B47A2A" w:rsidP="00116CA6">
      <w:pPr>
        <w:spacing w:before="240"/>
        <w:ind w:left="1276" w:hanging="1276"/>
        <w:jc w:val="both"/>
        <w:rPr>
          <w:b/>
          <w:szCs w:val="24"/>
        </w:rPr>
      </w:pPr>
      <w:r>
        <w:rPr>
          <w:b/>
        </w:rPr>
        <w:t>Cláusula 46</w:t>
      </w:r>
      <w:r>
        <w:tab/>
      </w:r>
      <w:r w:rsidR="008133C4">
        <w:tab/>
      </w:r>
      <w:r>
        <w:rPr>
          <w:b/>
        </w:rPr>
        <w:t>Prefinanciación</w:t>
      </w:r>
    </w:p>
    <w:p w:rsidR="00B47A2A" w:rsidRPr="00B47A2A" w:rsidRDefault="00A12DBD" w:rsidP="00A12DBD">
      <w:pPr>
        <w:spacing w:before="120" w:after="120"/>
        <w:ind w:left="1276" w:hanging="709"/>
        <w:jc w:val="both"/>
        <w:rPr>
          <w:sz w:val="22"/>
          <w:szCs w:val="22"/>
        </w:rPr>
      </w:pPr>
      <w:r>
        <w:rPr>
          <w:sz w:val="22"/>
        </w:rPr>
        <w:t>46.1</w:t>
      </w:r>
      <w:r>
        <w:tab/>
      </w:r>
      <w:r>
        <w:rPr>
          <w:sz w:val="22"/>
        </w:rPr>
        <w:t>&lt;</w:t>
      </w:r>
      <w:r>
        <w:rPr>
          <w:sz w:val="22"/>
          <w:highlight w:val="yellow"/>
        </w:rPr>
        <w:t>Especifíquese si es posible la prefinanciación</w:t>
      </w:r>
      <w:r>
        <w:rPr>
          <w:sz w:val="22"/>
        </w:rPr>
        <w:t xml:space="preserve">&gt; </w:t>
      </w:r>
    </w:p>
    <w:p w:rsidR="00B47A2A" w:rsidRPr="00B47A2A" w:rsidRDefault="00A12DBD" w:rsidP="00A12DBD">
      <w:pPr>
        <w:spacing w:before="120" w:after="120"/>
        <w:ind w:left="1276" w:hanging="709"/>
        <w:jc w:val="both"/>
        <w:rPr>
          <w:sz w:val="22"/>
          <w:szCs w:val="22"/>
        </w:rPr>
      </w:pPr>
      <w:r>
        <w:rPr>
          <w:sz w:val="22"/>
        </w:rPr>
        <w:t>46.2</w:t>
      </w:r>
      <w:r>
        <w:tab/>
      </w:r>
      <w:r>
        <w:rPr>
          <w:sz w:val="22"/>
        </w:rPr>
        <w:t xml:space="preserve">&lt; </w:t>
      </w:r>
      <w:r>
        <w:rPr>
          <w:sz w:val="22"/>
          <w:highlight w:val="yellow"/>
        </w:rPr>
        <w:t xml:space="preserve">Especifíquese el importe total de la prefinanciación. Téngase en cuenta que el importe total no deberá superar el 10 % del precio original del </w:t>
      </w:r>
      <w:r w:rsidR="00B42C3E">
        <w:rPr>
          <w:sz w:val="22"/>
          <w:highlight w:val="yellow"/>
        </w:rPr>
        <w:t>contrato</w:t>
      </w:r>
      <w:r>
        <w:rPr>
          <w:sz w:val="22"/>
          <w:highlight w:val="yellow"/>
        </w:rPr>
        <w:t xml:space="preserve"> para el anticipo por una cantidad fija única y el 20 % para cualquier otra prefinanciación).&gt;</w:t>
      </w:r>
    </w:p>
    <w:p w:rsidR="00742A44" w:rsidRDefault="00A12DBD" w:rsidP="00F2670B">
      <w:pPr>
        <w:keepNext/>
        <w:tabs>
          <w:tab w:val="left" w:pos="993"/>
        </w:tabs>
        <w:ind w:left="1276" w:hanging="709"/>
        <w:rPr>
          <w:sz w:val="22"/>
          <w:szCs w:val="22"/>
        </w:rPr>
      </w:pPr>
      <w:r>
        <w:rPr>
          <w:sz w:val="22"/>
        </w:rPr>
        <w:t>46.3.c)</w:t>
      </w:r>
      <w:r>
        <w:tab/>
      </w:r>
      <w:r>
        <w:rPr>
          <w:sz w:val="22"/>
          <w:highlight w:val="yellow"/>
        </w:rPr>
        <w:t xml:space="preserve">[Añádase </w:t>
      </w:r>
      <w:r w:rsidR="00231CC5">
        <w:rPr>
          <w:sz w:val="22"/>
          <w:highlight w:val="yellow"/>
        </w:rPr>
        <w:t>algun</w:t>
      </w:r>
      <w:r>
        <w:rPr>
          <w:sz w:val="22"/>
          <w:highlight w:val="yellow"/>
        </w:rPr>
        <w:t xml:space="preserve">a </w:t>
      </w:r>
      <w:r w:rsidR="00231CC5">
        <w:rPr>
          <w:sz w:val="22"/>
          <w:highlight w:val="yellow"/>
        </w:rPr>
        <w:t xml:space="preserve">de </w:t>
      </w:r>
      <w:r w:rsidR="00EB740F">
        <w:rPr>
          <w:sz w:val="22"/>
          <w:highlight w:val="yellow"/>
        </w:rPr>
        <w:t xml:space="preserve">estas </w:t>
      </w:r>
      <w:r>
        <w:rPr>
          <w:sz w:val="22"/>
          <w:highlight w:val="yellow"/>
        </w:rPr>
        <w:t>frase</w:t>
      </w:r>
      <w:r w:rsidR="00231CC5">
        <w:rPr>
          <w:sz w:val="22"/>
          <w:highlight w:val="yellow"/>
        </w:rPr>
        <w:t>s</w:t>
      </w:r>
      <w:r>
        <w:rPr>
          <w:sz w:val="22"/>
          <w:highlight w:val="yellow"/>
        </w:rPr>
        <w:t xml:space="preserve"> en </w:t>
      </w:r>
      <w:r w:rsidR="00EB740F">
        <w:rPr>
          <w:sz w:val="22"/>
          <w:highlight w:val="yellow"/>
        </w:rPr>
        <w:t xml:space="preserve">los siguientes </w:t>
      </w:r>
      <w:r>
        <w:rPr>
          <w:sz w:val="22"/>
          <w:highlight w:val="yellow"/>
        </w:rPr>
        <w:t>casos:</w:t>
      </w:r>
    </w:p>
    <w:p w:rsidR="00527F31" w:rsidRPr="001D660A" w:rsidRDefault="00231CC5" w:rsidP="001D660A">
      <w:pPr>
        <w:keepNext/>
        <w:tabs>
          <w:tab w:val="left" w:pos="993"/>
        </w:tabs>
        <w:ind w:left="1276" w:firstLine="425"/>
        <w:rPr>
          <w:sz w:val="22"/>
          <w:highlight w:val="yellow"/>
        </w:rPr>
      </w:pPr>
      <w:r>
        <w:rPr>
          <w:sz w:val="22"/>
          <w:highlight w:val="yellow"/>
        </w:rPr>
        <w:t>[</w:t>
      </w:r>
      <w:r w:rsidR="00B47A2A">
        <w:rPr>
          <w:sz w:val="22"/>
          <w:highlight w:val="yellow"/>
        </w:rPr>
        <w:t xml:space="preserve">si el </w:t>
      </w:r>
      <w:r w:rsidR="00EB740F">
        <w:rPr>
          <w:sz w:val="22"/>
          <w:highlight w:val="yellow"/>
        </w:rPr>
        <w:t>precio</w:t>
      </w:r>
      <w:r w:rsidR="00B47A2A">
        <w:rPr>
          <w:sz w:val="22"/>
          <w:highlight w:val="yellow"/>
        </w:rPr>
        <w:t xml:space="preserve"> </w:t>
      </w:r>
      <w:r>
        <w:rPr>
          <w:sz w:val="22"/>
          <w:highlight w:val="yellow"/>
        </w:rPr>
        <w:t xml:space="preserve">total </w:t>
      </w:r>
      <w:r w:rsidR="00B47A2A">
        <w:rPr>
          <w:sz w:val="22"/>
          <w:highlight w:val="yellow"/>
        </w:rPr>
        <w:t xml:space="preserve">del </w:t>
      </w:r>
      <w:r w:rsidR="00B42C3E">
        <w:rPr>
          <w:sz w:val="22"/>
          <w:highlight w:val="yellow"/>
        </w:rPr>
        <w:t>contrato</w:t>
      </w:r>
      <w:r w:rsidR="00B47A2A">
        <w:rPr>
          <w:sz w:val="22"/>
          <w:highlight w:val="yellow"/>
        </w:rPr>
        <w:t xml:space="preserve"> es inferior a 60 000 EUR</w:t>
      </w:r>
      <w:r w:rsidRPr="001D660A">
        <w:rPr>
          <w:sz w:val="22"/>
          <w:highlight w:val="yellow"/>
        </w:rPr>
        <w:t>:]</w:t>
      </w:r>
    </w:p>
    <w:p w:rsidR="001D660A" w:rsidRDefault="001D660A" w:rsidP="001D660A">
      <w:pPr>
        <w:keepNext/>
        <w:tabs>
          <w:tab w:val="left" w:pos="993"/>
        </w:tabs>
        <w:ind w:left="1985"/>
        <w:rPr>
          <w:sz w:val="22"/>
        </w:rPr>
      </w:pPr>
      <w:r w:rsidRPr="001D660A">
        <w:rPr>
          <w:sz w:val="22"/>
          <w:highlight w:val="lightGray"/>
        </w:rPr>
        <w:t>[No obstante lo dispuesto en la cláusula 46.3.c)</w:t>
      </w:r>
      <w:r>
        <w:rPr>
          <w:sz w:val="22"/>
          <w:highlight w:val="lightGray"/>
        </w:rPr>
        <w:t xml:space="preserve"> de las Condiciones Generales</w:t>
      </w:r>
      <w:r w:rsidRPr="001D660A">
        <w:rPr>
          <w:sz w:val="22"/>
          <w:highlight w:val="lightGray"/>
        </w:rPr>
        <w:t xml:space="preserve">, no se </w:t>
      </w:r>
      <w:r w:rsidR="00B36FB5">
        <w:rPr>
          <w:sz w:val="22"/>
          <w:highlight w:val="lightGray"/>
        </w:rPr>
        <w:t>exige</w:t>
      </w:r>
      <w:r w:rsidRPr="001D660A">
        <w:rPr>
          <w:sz w:val="22"/>
          <w:highlight w:val="lightGray"/>
        </w:rPr>
        <w:t xml:space="preserve"> garantía de prefinanciación.]</w:t>
      </w:r>
    </w:p>
    <w:p w:rsidR="001D660A" w:rsidRDefault="001D660A" w:rsidP="001D660A">
      <w:pPr>
        <w:keepNext/>
        <w:tabs>
          <w:tab w:val="left" w:pos="993"/>
        </w:tabs>
        <w:ind w:left="1701"/>
        <w:rPr>
          <w:sz w:val="22"/>
        </w:rPr>
      </w:pPr>
    </w:p>
    <w:p w:rsidR="001D660A" w:rsidRDefault="001D660A" w:rsidP="001D660A">
      <w:pPr>
        <w:keepNext/>
        <w:tabs>
          <w:tab w:val="left" w:pos="993"/>
        </w:tabs>
        <w:ind w:left="1701"/>
        <w:rPr>
          <w:sz w:val="22"/>
        </w:rPr>
      </w:pPr>
      <w:r>
        <w:rPr>
          <w:sz w:val="22"/>
          <w:highlight w:val="yellow"/>
        </w:rPr>
        <w:t xml:space="preserve">[si el importe total del contrato es </w:t>
      </w:r>
      <w:r w:rsidR="00793EB5">
        <w:rPr>
          <w:sz w:val="22"/>
          <w:highlight w:val="yellow"/>
        </w:rPr>
        <w:t>superior</w:t>
      </w:r>
      <w:r>
        <w:rPr>
          <w:sz w:val="22"/>
          <w:highlight w:val="yellow"/>
        </w:rPr>
        <w:t xml:space="preserve"> a 60 000 EUR</w:t>
      </w:r>
      <w:r w:rsidRPr="001D660A">
        <w:rPr>
          <w:sz w:val="22"/>
          <w:highlight w:val="yellow"/>
        </w:rPr>
        <w:t>:]</w:t>
      </w:r>
    </w:p>
    <w:p w:rsidR="00742A44" w:rsidRPr="001D660A" w:rsidRDefault="001D660A" w:rsidP="001D660A">
      <w:pPr>
        <w:keepNext/>
        <w:tabs>
          <w:tab w:val="left" w:pos="993"/>
        </w:tabs>
        <w:ind w:left="1985"/>
        <w:rPr>
          <w:sz w:val="22"/>
          <w:szCs w:val="22"/>
        </w:rPr>
      </w:pPr>
      <w:r w:rsidRPr="001D660A">
        <w:rPr>
          <w:sz w:val="22"/>
          <w:highlight w:val="lightGray"/>
        </w:rPr>
        <w:t xml:space="preserve">[Cuando i) la prefinanciación solicitada es igual o inferior a 300 000 EUR, </w:t>
      </w:r>
      <w:r w:rsidRPr="001D660A">
        <w:rPr>
          <w:b/>
          <w:sz w:val="22"/>
          <w:highlight w:val="lightGray"/>
        </w:rPr>
        <w:t>y</w:t>
      </w:r>
      <w:r w:rsidRPr="001D660A">
        <w:rPr>
          <w:sz w:val="22"/>
          <w:highlight w:val="lightGray"/>
        </w:rPr>
        <w:t xml:space="preserve"> ii) el Órgano de Contratación no exige una garantía financiera tras realizar un análisis de riesgos, no obstante lo dispuesto en la cláusula 46.3.c)</w:t>
      </w:r>
      <w:r>
        <w:rPr>
          <w:sz w:val="22"/>
          <w:highlight w:val="lightGray"/>
        </w:rPr>
        <w:t xml:space="preserve"> </w:t>
      </w:r>
      <w:r w:rsidRPr="001D660A">
        <w:rPr>
          <w:sz w:val="22"/>
          <w:highlight w:val="lightGray"/>
        </w:rPr>
        <w:t>de las Condiciones Generales, no se exig</w:t>
      </w:r>
      <w:r w:rsidR="00B36FB5">
        <w:rPr>
          <w:sz w:val="22"/>
          <w:highlight w:val="lightGray"/>
        </w:rPr>
        <w:t>e</w:t>
      </w:r>
      <w:r w:rsidRPr="001D660A">
        <w:rPr>
          <w:sz w:val="22"/>
          <w:highlight w:val="lightGray"/>
        </w:rPr>
        <w:t xml:space="preserve"> garantía de prefinanciación</w:t>
      </w:r>
      <w:r>
        <w:rPr>
          <w:sz w:val="22"/>
        </w:rPr>
        <w:t>.]</w:t>
      </w:r>
      <w:r w:rsidR="00742A44" w:rsidRPr="001D660A">
        <w:rPr>
          <w:sz w:val="22"/>
        </w:rPr>
        <w:t xml:space="preserve"> </w:t>
      </w:r>
    </w:p>
    <w:p w:rsidR="001050EE" w:rsidRPr="00527F31" w:rsidRDefault="001050EE" w:rsidP="00527F31">
      <w:pPr>
        <w:spacing w:before="120" w:after="120"/>
        <w:ind w:left="1276" w:hanging="709"/>
        <w:jc w:val="both"/>
        <w:rPr>
          <w:sz w:val="22"/>
          <w:szCs w:val="22"/>
        </w:rPr>
      </w:pPr>
      <w:r>
        <w:rPr>
          <w:sz w:val="22"/>
        </w:rPr>
        <w:t>46.8</w:t>
      </w:r>
      <w:r>
        <w:tab/>
      </w:r>
      <w:r>
        <w:rPr>
          <w:sz w:val="22"/>
        </w:rPr>
        <w:t>El reembolso de la prefinanciación se realizará por medio de deducciones basadas en solicitudes mensuales.</w:t>
      </w:r>
    </w:p>
    <w:p w:rsidR="001050EE" w:rsidRPr="00E725FE" w:rsidRDefault="001050EE" w:rsidP="00A0682C">
      <w:pPr>
        <w:numPr>
          <w:ilvl w:val="0"/>
          <w:numId w:val="8"/>
        </w:numPr>
        <w:spacing w:after="120"/>
        <w:ind w:left="1701"/>
        <w:jc w:val="both"/>
        <w:rPr>
          <w:sz w:val="22"/>
          <w:szCs w:val="22"/>
        </w:rPr>
      </w:pPr>
      <w:r>
        <w:rPr>
          <w:sz w:val="22"/>
        </w:rPr>
        <w:t xml:space="preserve">El reembolso de la prefinanciación a tipo fijo (con un máximo del 10 %) tendrá lugar por medio de deducciones sobre los sucesivos pagos y, si fuera necesario, sobre el saldo adeudado al </w:t>
      </w:r>
      <w:r w:rsidR="002C30FD">
        <w:rPr>
          <w:sz w:val="22"/>
        </w:rPr>
        <w:t>contratista</w:t>
      </w:r>
      <w:r>
        <w:rPr>
          <w:sz w:val="22"/>
        </w:rPr>
        <w:t xml:space="preserve">. Dicho reembolso comenzará con el primer pago y se completará, como muy tarde, en el momento en que el 80 % de la cantidad del </w:t>
      </w:r>
      <w:r w:rsidR="00B42C3E">
        <w:rPr>
          <w:sz w:val="22"/>
        </w:rPr>
        <w:t>contrato</w:t>
      </w:r>
      <w:r>
        <w:rPr>
          <w:sz w:val="22"/>
        </w:rPr>
        <w:t xml:space="preserve"> haya sido satisfecha.</w:t>
      </w:r>
    </w:p>
    <w:p w:rsidR="001050EE" w:rsidRPr="00E725FE" w:rsidRDefault="001050EE" w:rsidP="00527F31">
      <w:pPr>
        <w:spacing w:after="120"/>
        <w:ind w:left="1701"/>
        <w:jc w:val="both"/>
        <w:rPr>
          <w:sz w:val="22"/>
          <w:szCs w:val="22"/>
        </w:rPr>
      </w:pPr>
      <w:r>
        <w:rPr>
          <w:sz w:val="22"/>
        </w:rPr>
        <w:t>El reembolso se efectuará en la misma moneda que la prefinanciación.</w:t>
      </w:r>
    </w:p>
    <w:p w:rsidR="001050EE" w:rsidRPr="00E725FE" w:rsidRDefault="001050EE" w:rsidP="00527F31">
      <w:pPr>
        <w:spacing w:after="120"/>
        <w:ind w:left="1701"/>
        <w:jc w:val="both"/>
        <w:rPr>
          <w:sz w:val="22"/>
          <w:szCs w:val="22"/>
        </w:rPr>
      </w:pPr>
      <w:r>
        <w:rPr>
          <w:sz w:val="22"/>
        </w:rPr>
        <w:t>La cantidad a deducir de cada pago se calculará utilizando la siguiente fórmula:</w:t>
      </w:r>
    </w:p>
    <w:p w:rsidR="001050EE" w:rsidRPr="00E725FE" w:rsidRDefault="001050EE" w:rsidP="00527F31">
      <w:pPr>
        <w:spacing w:after="120"/>
        <w:ind w:left="1701"/>
        <w:jc w:val="both"/>
        <w:rPr>
          <w:sz w:val="22"/>
          <w:szCs w:val="22"/>
        </w:rPr>
      </w:pPr>
      <w:r>
        <w:rPr>
          <w:noProof/>
          <w:position w:val="-24"/>
          <w:sz w:val="22"/>
          <w:szCs w:val="22"/>
        </w:rPr>
        <w:object w:dxaOrig="12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2.25pt;height:30.75pt" o:ole="" fillcolor="window">
            <v:imagedata r:id="rId8" o:title=""/>
          </v:shape>
          <o:OLEObject Type="Embed" ProgID="Equation.3" ShapeID="_x0000_i1025" DrawAspect="Content" ObjectID="_1624462747" r:id="rId9"/>
        </w:object>
      </w:r>
    </w:p>
    <w:p w:rsidR="001050EE" w:rsidRPr="00E725FE" w:rsidRDefault="001050EE" w:rsidP="00527F31">
      <w:pPr>
        <w:spacing w:after="120"/>
        <w:ind w:left="1701"/>
        <w:jc w:val="both"/>
        <w:rPr>
          <w:sz w:val="22"/>
          <w:szCs w:val="22"/>
        </w:rPr>
      </w:pPr>
      <w:r>
        <w:rPr>
          <w:sz w:val="22"/>
        </w:rPr>
        <w:t>siendo:</w:t>
      </w:r>
    </w:p>
    <w:p w:rsidR="001050EE" w:rsidRPr="00E725FE" w:rsidRDefault="001050EE" w:rsidP="00527F31">
      <w:pPr>
        <w:ind w:left="1701"/>
        <w:jc w:val="both"/>
        <w:rPr>
          <w:sz w:val="22"/>
          <w:szCs w:val="22"/>
        </w:rPr>
      </w:pPr>
      <w:r>
        <w:rPr>
          <w:sz w:val="22"/>
        </w:rPr>
        <w:lastRenderedPageBreak/>
        <w:t>R = importe a reembolsar</w:t>
      </w:r>
    </w:p>
    <w:p w:rsidR="001050EE" w:rsidRPr="00E725FE" w:rsidRDefault="001050EE" w:rsidP="00527F31">
      <w:pPr>
        <w:ind w:left="1701"/>
        <w:jc w:val="both"/>
        <w:rPr>
          <w:sz w:val="22"/>
          <w:szCs w:val="22"/>
        </w:rPr>
      </w:pPr>
      <w:r>
        <w:rPr>
          <w:sz w:val="22"/>
        </w:rPr>
        <w:t>Va = importe total de la prefinanciación</w:t>
      </w:r>
    </w:p>
    <w:p w:rsidR="001050EE" w:rsidRPr="00E725FE" w:rsidRDefault="001050EE" w:rsidP="00527F31">
      <w:pPr>
        <w:ind w:left="1701"/>
        <w:jc w:val="both"/>
        <w:rPr>
          <w:sz w:val="22"/>
          <w:szCs w:val="22"/>
        </w:rPr>
      </w:pPr>
      <w:r>
        <w:rPr>
          <w:sz w:val="22"/>
        </w:rPr>
        <w:t xml:space="preserve">Vt = importe inicial del </w:t>
      </w:r>
      <w:r w:rsidR="00B42C3E">
        <w:rPr>
          <w:sz w:val="22"/>
        </w:rPr>
        <w:t>contrato</w:t>
      </w:r>
    </w:p>
    <w:p w:rsidR="001050EE" w:rsidRPr="00E725FE" w:rsidRDefault="001050EE" w:rsidP="00527F31">
      <w:pPr>
        <w:ind w:left="1701"/>
        <w:jc w:val="both"/>
        <w:rPr>
          <w:sz w:val="22"/>
          <w:szCs w:val="22"/>
        </w:rPr>
      </w:pPr>
      <w:r>
        <w:rPr>
          <w:sz w:val="22"/>
        </w:rPr>
        <w:t>D = importe del pago intermedio.</w:t>
      </w:r>
    </w:p>
    <w:p w:rsidR="001050EE" w:rsidRPr="00E725FE" w:rsidRDefault="001050EE" w:rsidP="00527F31">
      <w:pPr>
        <w:spacing w:after="120"/>
        <w:ind w:left="1701"/>
        <w:jc w:val="both"/>
        <w:rPr>
          <w:sz w:val="22"/>
          <w:szCs w:val="22"/>
        </w:rPr>
      </w:pPr>
      <w:r>
        <w:rPr>
          <w:sz w:val="22"/>
        </w:rPr>
        <w:t>El resultado se redondeará a dos cifras decimales.</w:t>
      </w:r>
    </w:p>
    <w:p w:rsidR="001050EE" w:rsidRPr="00E725FE" w:rsidRDefault="001050EE" w:rsidP="00A0682C">
      <w:pPr>
        <w:numPr>
          <w:ilvl w:val="0"/>
          <w:numId w:val="8"/>
        </w:numPr>
        <w:spacing w:after="120"/>
        <w:ind w:left="1701"/>
        <w:jc w:val="both"/>
        <w:rPr>
          <w:sz w:val="22"/>
          <w:szCs w:val="22"/>
        </w:rPr>
      </w:pPr>
      <w:r>
        <w:rPr>
          <w:sz w:val="22"/>
        </w:rPr>
        <w:t xml:space="preserve">El reembolso de la prefinanciación para instalaciones, maquinaria y herramientas, y el correspondiente a otros desembolsos prioritarios (con un máximo del 20 %), se efectuará por medio de deducciones sobre los sucesivos pagos y, si fuera necesario, sobre el saldo debido al </w:t>
      </w:r>
      <w:r w:rsidR="002C30FD">
        <w:rPr>
          <w:sz w:val="22"/>
        </w:rPr>
        <w:t>contratista</w:t>
      </w:r>
      <w:r>
        <w:rPr>
          <w:sz w:val="22"/>
        </w:rPr>
        <w:t xml:space="preserve">. La devolución comenzará con el primer pago y se completará, como muy tarde, en el momento en que el 90 % de la cantidad total del </w:t>
      </w:r>
      <w:r w:rsidR="00B42C3E">
        <w:rPr>
          <w:sz w:val="22"/>
        </w:rPr>
        <w:t>contrato</w:t>
      </w:r>
      <w:r>
        <w:rPr>
          <w:sz w:val="22"/>
        </w:rPr>
        <w:t xml:space="preserve"> haya sido satisfecha.</w:t>
      </w:r>
    </w:p>
    <w:p w:rsidR="001050EE" w:rsidRPr="00E725FE" w:rsidRDefault="001050EE" w:rsidP="00527F31">
      <w:pPr>
        <w:spacing w:before="120" w:after="120"/>
        <w:ind w:left="1701"/>
        <w:jc w:val="both"/>
        <w:rPr>
          <w:sz w:val="22"/>
          <w:szCs w:val="22"/>
        </w:rPr>
      </w:pPr>
      <w:r>
        <w:rPr>
          <w:sz w:val="22"/>
        </w:rPr>
        <w:t>La cantidad a deducir de cada pago se calculará utilizando la siguiente fórmula:</w:t>
      </w:r>
    </w:p>
    <w:p w:rsidR="001050EE" w:rsidRPr="00E725FE" w:rsidRDefault="001050EE" w:rsidP="00527F31">
      <w:pPr>
        <w:spacing w:after="120"/>
        <w:ind w:left="1701"/>
        <w:jc w:val="both"/>
        <w:rPr>
          <w:sz w:val="22"/>
          <w:szCs w:val="22"/>
        </w:rPr>
      </w:pPr>
      <w:r>
        <w:rPr>
          <w:noProof/>
          <w:position w:val="-24"/>
          <w:sz w:val="22"/>
          <w:szCs w:val="22"/>
        </w:rPr>
        <w:object w:dxaOrig="1240" w:dyaOrig="620">
          <v:shape id="_x0000_i1026" type="#_x0000_t75" style="width:62.25pt;height:30.75pt" o:ole="" fillcolor="window">
            <v:imagedata r:id="rId10" o:title=""/>
          </v:shape>
          <o:OLEObject Type="Embed" ProgID="Equation.3" ShapeID="_x0000_i1026" DrawAspect="Content" ObjectID="_1624462748" r:id="rId11"/>
        </w:object>
      </w:r>
    </w:p>
    <w:p w:rsidR="001050EE" w:rsidRPr="00E725FE" w:rsidRDefault="001050EE" w:rsidP="00527F31">
      <w:pPr>
        <w:spacing w:after="120"/>
        <w:ind w:left="1701"/>
        <w:jc w:val="both"/>
        <w:rPr>
          <w:sz w:val="22"/>
          <w:szCs w:val="22"/>
        </w:rPr>
      </w:pPr>
      <w:r>
        <w:rPr>
          <w:sz w:val="22"/>
        </w:rPr>
        <w:t>siendo:</w:t>
      </w:r>
    </w:p>
    <w:p w:rsidR="001050EE" w:rsidRPr="00E725FE" w:rsidRDefault="001050EE" w:rsidP="00527F31">
      <w:pPr>
        <w:ind w:left="1701"/>
        <w:jc w:val="both"/>
        <w:rPr>
          <w:sz w:val="22"/>
          <w:szCs w:val="22"/>
        </w:rPr>
      </w:pPr>
      <w:r>
        <w:rPr>
          <w:sz w:val="22"/>
        </w:rPr>
        <w:t>R = importe a reembolsar</w:t>
      </w:r>
    </w:p>
    <w:p w:rsidR="001050EE" w:rsidRPr="00E725FE" w:rsidRDefault="001050EE" w:rsidP="00527F31">
      <w:pPr>
        <w:ind w:left="1701"/>
        <w:jc w:val="both"/>
        <w:rPr>
          <w:sz w:val="22"/>
          <w:szCs w:val="22"/>
        </w:rPr>
      </w:pPr>
      <w:r>
        <w:rPr>
          <w:sz w:val="22"/>
        </w:rPr>
        <w:t>Va = importe total de la prefinanciación</w:t>
      </w:r>
    </w:p>
    <w:p w:rsidR="001050EE" w:rsidRPr="00E725FE" w:rsidRDefault="001050EE" w:rsidP="00527F31">
      <w:pPr>
        <w:ind w:left="1701"/>
        <w:jc w:val="both"/>
        <w:rPr>
          <w:sz w:val="22"/>
          <w:szCs w:val="22"/>
        </w:rPr>
      </w:pPr>
      <w:r>
        <w:rPr>
          <w:sz w:val="22"/>
        </w:rPr>
        <w:t xml:space="preserve">Vt = importe inicial del </w:t>
      </w:r>
      <w:r w:rsidR="00B42C3E">
        <w:rPr>
          <w:sz w:val="22"/>
        </w:rPr>
        <w:t>contrato</w:t>
      </w:r>
    </w:p>
    <w:p w:rsidR="001050EE" w:rsidRPr="00E725FE" w:rsidRDefault="001050EE" w:rsidP="00527F31">
      <w:pPr>
        <w:ind w:left="1701"/>
        <w:jc w:val="both"/>
        <w:rPr>
          <w:sz w:val="22"/>
          <w:szCs w:val="22"/>
        </w:rPr>
      </w:pPr>
      <w:r>
        <w:rPr>
          <w:sz w:val="22"/>
        </w:rPr>
        <w:t>D = importe del pago intermedio.</w:t>
      </w:r>
    </w:p>
    <w:p w:rsidR="001050EE" w:rsidRPr="00116CA6" w:rsidRDefault="001050EE" w:rsidP="00116CA6">
      <w:pPr>
        <w:spacing w:before="240"/>
        <w:ind w:left="1276" w:hanging="1276"/>
        <w:jc w:val="both"/>
        <w:rPr>
          <w:b/>
          <w:szCs w:val="24"/>
        </w:rPr>
      </w:pPr>
      <w:bookmarkStart w:id="30" w:name="_Toc76894440"/>
      <w:r>
        <w:rPr>
          <w:b/>
        </w:rPr>
        <w:t>Cláusula 47</w:t>
      </w:r>
      <w:r>
        <w:tab/>
      </w:r>
      <w:r w:rsidR="008133C4">
        <w:tab/>
      </w:r>
      <w:r>
        <w:rPr>
          <w:b/>
        </w:rPr>
        <w:t>Retenciones</w:t>
      </w:r>
      <w:bookmarkEnd w:id="30"/>
    </w:p>
    <w:p w:rsidR="001050EE" w:rsidRPr="00527F31" w:rsidRDefault="001050EE" w:rsidP="00527F31">
      <w:pPr>
        <w:spacing w:before="120" w:after="120"/>
        <w:ind w:left="1276" w:hanging="709"/>
        <w:jc w:val="both"/>
        <w:rPr>
          <w:bCs/>
          <w:sz w:val="22"/>
          <w:szCs w:val="22"/>
        </w:rPr>
      </w:pPr>
      <w:r>
        <w:rPr>
          <w:sz w:val="22"/>
        </w:rPr>
        <w:t>47.1</w:t>
      </w:r>
      <w:r>
        <w:tab/>
      </w:r>
      <w:r>
        <w:rPr>
          <w:sz w:val="22"/>
        </w:rPr>
        <w:t>&lt;</w:t>
      </w:r>
      <w:r>
        <w:rPr>
          <w:sz w:val="22"/>
          <w:highlight w:val="yellow"/>
        </w:rPr>
        <w:t xml:space="preserve">Indíquense las modalidades de funcionamiento de las retenciones. Normalmente la cantidad a retener para los pagos intermedios a efectos de garantizar el cumplimiento de las obligaciones del </w:t>
      </w:r>
      <w:r w:rsidR="002C30FD">
        <w:rPr>
          <w:sz w:val="22"/>
          <w:highlight w:val="yellow"/>
        </w:rPr>
        <w:t>contratista</w:t>
      </w:r>
      <w:r>
        <w:rPr>
          <w:sz w:val="22"/>
          <w:highlight w:val="yellow"/>
        </w:rPr>
        <w:t xml:space="preserve"> durante el periodo de mantenimiento es del 10 % de cada pago</w:t>
      </w:r>
      <w:r>
        <w:rPr>
          <w:sz w:val="22"/>
        </w:rPr>
        <w:t>.&gt;</w:t>
      </w:r>
    </w:p>
    <w:p w:rsidR="001050EE" w:rsidRPr="00116CA6" w:rsidRDefault="001050EE" w:rsidP="00116CA6">
      <w:pPr>
        <w:spacing w:before="240"/>
        <w:ind w:left="1276" w:hanging="1276"/>
        <w:jc w:val="both"/>
        <w:rPr>
          <w:b/>
          <w:szCs w:val="24"/>
        </w:rPr>
      </w:pPr>
      <w:bookmarkStart w:id="31" w:name="_Toc76894441"/>
      <w:r>
        <w:rPr>
          <w:b/>
        </w:rPr>
        <w:t>Cláusula 48</w:t>
      </w:r>
      <w:r>
        <w:tab/>
      </w:r>
      <w:r w:rsidR="008133C4">
        <w:tab/>
      </w:r>
      <w:r>
        <w:rPr>
          <w:b/>
        </w:rPr>
        <w:t>Revisión de precios</w:t>
      </w:r>
      <w:bookmarkEnd w:id="31"/>
    </w:p>
    <w:p w:rsidR="00E11172" w:rsidRPr="00F2670B" w:rsidRDefault="00E11172" w:rsidP="00527F31">
      <w:pPr>
        <w:spacing w:before="120" w:after="60"/>
        <w:jc w:val="both"/>
        <w:rPr>
          <w:sz w:val="22"/>
          <w:szCs w:val="22"/>
          <w:highlight w:val="yellow"/>
        </w:rPr>
      </w:pPr>
      <w:r>
        <w:rPr>
          <w:sz w:val="22"/>
          <w:highlight w:val="yellow"/>
        </w:rPr>
        <w:t xml:space="preserve">Los precios deberán revisarse en el caso de los </w:t>
      </w:r>
      <w:r w:rsidR="00B42C3E">
        <w:rPr>
          <w:sz w:val="22"/>
          <w:highlight w:val="yellow"/>
        </w:rPr>
        <w:t>contrato</w:t>
      </w:r>
      <w:r>
        <w:rPr>
          <w:sz w:val="22"/>
          <w:highlight w:val="yellow"/>
        </w:rPr>
        <w:t>s:</w:t>
      </w:r>
    </w:p>
    <w:p w:rsidR="00E11172" w:rsidRPr="00F2670B" w:rsidRDefault="00E11172" w:rsidP="00A0682C">
      <w:pPr>
        <w:numPr>
          <w:ilvl w:val="0"/>
          <w:numId w:val="9"/>
        </w:numPr>
        <w:spacing w:before="120"/>
        <w:jc w:val="both"/>
        <w:rPr>
          <w:sz w:val="22"/>
          <w:szCs w:val="22"/>
          <w:highlight w:val="yellow"/>
        </w:rPr>
      </w:pPr>
      <w:r>
        <w:rPr>
          <w:sz w:val="22"/>
          <w:highlight w:val="yellow"/>
        </w:rPr>
        <w:t xml:space="preserve">con un importe total superior a 5 000 000 EUR (sin IVA) </w:t>
      </w:r>
      <w:r>
        <w:rPr>
          <w:b/>
          <w:sz w:val="22"/>
          <w:highlight w:val="yellow"/>
        </w:rPr>
        <w:t>y/o</w:t>
      </w:r>
    </w:p>
    <w:p w:rsidR="00E11172" w:rsidRPr="00F2670B" w:rsidRDefault="00E11172" w:rsidP="00A0682C">
      <w:pPr>
        <w:numPr>
          <w:ilvl w:val="0"/>
          <w:numId w:val="9"/>
        </w:numPr>
        <w:spacing w:after="120"/>
        <w:ind w:left="714" w:hanging="357"/>
        <w:jc w:val="both"/>
        <w:rPr>
          <w:sz w:val="22"/>
          <w:szCs w:val="22"/>
          <w:highlight w:val="yellow"/>
        </w:rPr>
      </w:pPr>
      <w:r>
        <w:rPr>
          <w:sz w:val="22"/>
          <w:highlight w:val="yellow"/>
        </w:rPr>
        <w:t>con una duración superior a un año</w:t>
      </w:r>
    </w:p>
    <w:p w:rsidR="00E11172" w:rsidRPr="00F2670B" w:rsidRDefault="00E11172" w:rsidP="00527F31">
      <w:pPr>
        <w:spacing w:before="120" w:after="120"/>
        <w:jc w:val="both"/>
        <w:rPr>
          <w:sz w:val="22"/>
          <w:szCs w:val="22"/>
        </w:rPr>
      </w:pPr>
      <w:r>
        <w:rPr>
          <w:sz w:val="22"/>
          <w:highlight w:val="yellow"/>
        </w:rPr>
        <w:t xml:space="preserve">Tal como se detalla más adelante, la revisión de precios se calcula sobre la base del coeficiente de insumos que componen el precio del </w:t>
      </w:r>
      <w:r w:rsidR="00B42C3E">
        <w:rPr>
          <w:sz w:val="22"/>
          <w:highlight w:val="yellow"/>
        </w:rPr>
        <w:t>contrato</w:t>
      </w:r>
      <w:r>
        <w:rPr>
          <w:sz w:val="22"/>
          <w:highlight w:val="yellow"/>
        </w:rPr>
        <w:t>. Estos coeficientes se establecen de conformidad con el desglose detallado de precios (volumen 4 del expediente de licitación). Si el desglose detallado de precios no se solicita durante el procedimiento de licitación, el Órgano de Contratación podrá utilizar su propia fórmula de revisión de precios establecida.</w:t>
      </w:r>
    </w:p>
    <w:p w:rsidR="00E11172" w:rsidRPr="00F2670B" w:rsidRDefault="00394BBB" w:rsidP="00394BBB">
      <w:pPr>
        <w:spacing w:before="120" w:after="120"/>
        <w:ind w:left="1276" w:hanging="709"/>
        <w:rPr>
          <w:sz w:val="22"/>
          <w:szCs w:val="22"/>
        </w:rPr>
      </w:pPr>
      <w:r>
        <w:rPr>
          <w:sz w:val="22"/>
        </w:rPr>
        <w:t>48.1</w:t>
      </w:r>
      <w:r>
        <w:tab/>
      </w:r>
      <w:r>
        <w:rPr>
          <w:sz w:val="22"/>
        </w:rPr>
        <w:t xml:space="preserve">Se considerará que los precios que figuran en la oferta del </w:t>
      </w:r>
      <w:r w:rsidR="002C30FD">
        <w:rPr>
          <w:sz w:val="22"/>
        </w:rPr>
        <w:t>contratista</w:t>
      </w:r>
      <w:r>
        <w:rPr>
          <w:sz w:val="22"/>
        </w:rPr>
        <w:t xml:space="preserve"> se han establecido sobre la base de las condiciones económicas en vigor </w:t>
      </w:r>
      <w:r w:rsidR="00CA2F80">
        <w:rPr>
          <w:sz w:val="22"/>
        </w:rPr>
        <w:t>30</w:t>
      </w:r>
      <w:r>
        <w:rPr>
          <w:sz w:val="22"/>
        </w:rPr>
        <w:t xml:space="preserve"> días antes del último día del plazo para la presentación de ofertas (fecha de referencia = </w:t>
      </w:r>
      <w:r>
        <w:rPr>
          <w:sz w:val="22"/>
          <w:highlight w:val="yellow"/>
        </w:rPr>
        <w:t>&lt;Especifíquese la fecha de referencia (mm/aa)&gt;).</w:t>
      </w:r>
      <w:r>
        <w:rPr>
          <w:sz w:val="22"/>
        </w:rPr>
        <w:t xml:space="preserve"> En caso de variación de las condiciones económicas durante el periodo de ejecución de las obras, los certificados mensuales de pagos intermedios serán reajustados por aplicación de las fórmulas de revisión de conformidad con la cláusula 48.2.</w:t>
      </w:r>
    </w:p>
    <w:p w:rsidR="00E11172" w:rsidRPr="00F2670B" w:rsidRDefault="00E11172" w:rsidP="00394BBB">
      <w:pPr>
        <w:spacing w:before="120" w:after="120"/>
        <w:ind w:left="1276" w:hanging="709"/>
        <w:rPr>
          <w:sz w:val="22"/>
          <w:szCs w:val="22"/>
        </w:rPr>
      </w:pPr>
      <w:r>
        <w:rPr>
          <w:sz w:val="22"/>
        </w:rPr>
        <w:t>48.2</w:t>
      </w:r>
      <w:r>
        <w:tab/>
      </w:r>
      <w:r>
        <w:rPr>
          <w:sz w:val="22"/>
        </w:rPr>
        <w:t xml:space="preserve">La revisión de precios se calculará combinando la aplicación de dos fórmulas: a) una fórmula monomaterial y b) una fórmula proporcional, del modo siguiente: </w:t>
      </w:r>
    </w:p>
    <w:p w:rsidR="00E11172" w:rsidRPr="00F2670B" w:rsidRDefault="00E11172" w:rsidP="00A0682C">
      <w:pPr>
        <w:numPr>
          <w:ilvl w:val="0"/>
          <w:numId w:val="10"/>
        </w:numPr>
        <w:spacing w:after="120"/>
        <w:ind w:left="1701"/>
        <w:jc w:val="both"/>
        <w:rPr>
          <w:sz w:val="22"/>
          <w:szCs w:val="22"/>
        </w:rPr>
      </w:pPr>
      <w:r>
        <w:rPr>
          <w:sz w:val="22"/>
        </w:rPr>
        <w:t>La fórmula monomaterial se aplicará a los siguientes precios unitarios de la relación de cantidades:</w:t>
      </w:r>
    </w:p>
    <w:p w:rsidR="00394BBB" w:rsidRPr="00F2670B" w:rsidRDefault="00E11172" w:rsidP="00A0682C">
      <w:pPr>
        <w:numPr>
          <w:ilvl w:val="0"/>
          <w:numId w:val="11"/>
        </w:numPr>
        <w:ind w:left="2126" w:hanging="357"/>
        <w:rPr>
          <w:sz w:val="22"/>
          <w:szCs w:val="22"/>
        </w:rPr>
      </w:pPr>
      <w:r>
        <w:rPr>
          <w:sz w:val="22"/>
          <w:highlight w:val="yellow"/>
        </w:rPr>
        <w:t>&lt;Especifíquese el precio unitario (n</w:t>
      </w:r>
      <w:r w:rsidR="00C429FC">
        <w:rPr>
          <w:sz w:val="22"/>
          <w:highlight w:val="yellow"/>
        </w:rPr>
        <w:t>.</w:t>
      </w:r>
      <w:r>
        <w:rPr>
          <w:sz w:val="22"/>
          <w:highlight w:val="yellow"/>
        </w:rPr>
        <w:t>°, material por revisar)&gt;</w:t>
      </w:r>
    </w:p>
    <w:p w:rsidR="00E11172" w:rsidRPr="00F2670B" w:rsidRDefault="00E11172" w:rsidP="00A0682C">
      <w:pPr>
        <w:numPr>
          <w:ilvl w:val="0"/>
          <w:numId w:val="11"/>
        </w:numPr>
        <w:spacing w:before="100" w:beforeAutospacing="1" w:after="120"/>
        <w:ind w:left="2126" w:hanging="357"/>
        <w:rPr>
          <w:sz w:val="22"/>
          <w:szCs w:val="22"/>
        </w:rPr>
      </w:pPr>
      <w:r>
        <w:rPr>
          <w:sz w:val="22"/>
          <w:highlight w:val="yellow"/>
        </w:rPr>
        <w:t>&lt;Especifíquese el precio unitario (n</w:t>
      </w:r>
      <w:r w:rsidR="00C429FC">
        <w:rPr>
          <w:sz w:val="22"/>
          <w:highlight w:val="yellow"/>
        </w:rPr>
        <w:t>.</w:t>
      </w:r>
      <w:r>
        <w:rPr>
          <w:sz w:val="22"/>
          <w:highlight w:val="yellow"/>
        </w:rPr>
        <w:t>°, material por revisar)&gt;</w:t>
      </w:r>
    </w:p>
    <w:p w:rsidR="00E11172" w:rsidRPr="00F2670B" w:rsidRDefault="00E11172" w:rsidP="007A04CD">
      <w:pPr>
        <w:spacing w:after="120"/>
        <w:ind w:left="1701"/>
        <w:rPr>
          <w:sz w:val="22"/>
          <w:szCs w:val="22"/>
          <w:highlight w:val="yellow"/>
        </w:rPr>
      </w:pPr>
      <w:r>
        <w:rPr>
          <w:sz w:val="22"/>
          <w:highlight w:val="yellow"/>
        </w:rPr>
        <w:lastRenderedPageBreak/>
        <w:t>Los precios unitarios a los que se aplica la fórmula monomaterial se elegirán entre los que incluyan uno o más materiales específicos (o insumos) que:</w:t>
      </w:r>
    </w:p>
    <w:p w:rsidR="00E11172" w:rsidRPr="00F2670B" w:rsidRDefault="007A04CD" w:rsidP="00A0682C">
      <w:pPr>
        <w:numPr>
          <w:ilvl w:val="0"/>
          <w:numId w:val="11"/>
        </w:numPr>
        <w:ind w:left="2126" w:hanging="357"/>
        <w:rPr>
          <w:sz w:val="22"/>
          <w:szCs w:val="22"/>
          <w:highlight w:val="yellow"/>
        </w:rPr>
      </w:pPr>
      <w:r>
        <w:rPr>
          <w:sz w:val="22"/>
          <w:highlight w:val="yellow"/>
        </w:rPr>
        <w:t>tengan una volatilidad significativa</w:t>
      </w:r>
    </w:p>
    <w:p w:rsidR="00E11172" w:rsidRPr="00F2670B" w:rsidRDefault="007A04CD" w:rsidP="00A0682C">
      <w:pPr>
        <w:numPr>
          <w:ilvl w:val="0"/>
          <w:numId w:val="11"/>
        </w:numPr>
        <w:ind w:left="2126" w:hanging="357"/>
        <w:rPr>
          <w:sz w:val="22"/>
          <w:szCs w:val="22"/>
          <w:highlight w:val="yellow"/>
        </w:rPr>
      </w:pPr>
      <w:r>
        <w:rPr>
          <w:sz w:val="22"/>
          <w:highlight w:val="yellow"/>
        </w:rPr>
        <w:t xml:space="preserve">representen una parte significativa de la cantidad total del </w:t>
      </w:r>
      <w:r w:rsidR="00B42C3E">
        <w:rPr>
          <w:sz w:val="22"/>
          <w:highlight w:val="yellow"/>
        </w:rPr>
        <w:t>contrato</w:t>
      </w:r>
    </w:p>
    <w:p w:rsidR="00E11172" w:rsidRPr="00F2670B" w:rsidRDefault="007A04CD" w:rsidP="00A0682C">
      <w:pPr>
        <w:numPr>
          <w:ilvl w:val="0"/>
          <w:numId w:val="11"/>
        </w:numPr>
        <w:spacing w:after="120"/>
        <w:ind w:left="2126" w:hanging="357"/>
        <w:rPr>
          <w:sz w:val="22"/>
          <w:szCs w:val="22"/>
          <w:highlight w:val="yellow"/>
        </w:rPr>
      </w:pPr>
      <w:r>
        <w:rPr>
          <w:sz w:val="22"/>
          <w:highlight w:val="yellow"/>
        </w:rPr>
        <w:t>se identifiquen claramente en el desglose detallado de precios.</w:t>
      </w:r>
    </w:p>
    <w:p w:rsidR="00E11172" w:rsidRPr="00F2670B" w:rsidRDefault="00E11172" w:rsidP="007A04CD">
      <w:pPr>
        <w:spacing w:after="120"/>
        <w:ind w:left="1701"/>
        <w:rPr>
          <w:sz w:val="22"/>
          <w:szCs w:val="22"/>
          <w:highlight w:val="yellow"/>
        </w:rPr>
      </w:pPr>
      <w:r>
        <w:rPr>
          <w:sz w:val="22"/>
          <w:highlight w:val="yellow"/>
        </w:rPr>
        <w:t>(Por ejemplo, la fórmula monomaterial podrá aplicarse a los siguientes precios unitarios de la relación de cantidades (pero no exclusivamente):</w:t>
      </w:r>
    </w:p>
    <w:p w:rsidR="00E11172" w:rsidRPr="00F2670B" w:rsidRDefault="007A04CD" w:rsidP="00A0682C">
      <w:pPr>
        <w:numPr>
          <w:ilvl w:val="0"/>
          <w:numId w:val="11"/>
        </w:numPr>
        <w:ind w:left="2126" w:hanging="357"/>
        <w:rPr>
          <w:sz w:val="22"/>
          <w:szCs w:val="22"/>
          <w:highlight w:val="yellow"/>
        </w:rPr>
      </w:pPr>
      <w:r>
        <w:rPr>
          <w:sz w:val="22"/>
          <w:highlight w:val="yellow"/>
        </w:rPr>
        <w:t>hormigón armado (para materiales como el cemento y el acero)</w:t>
      </w:r>
    </w:p>
    <w:p w:rsidR="00E11172" w:rsidRPr="00F2670B" w:rsidRDefault="007A04CD" w:rsidP="00A0682C">
      <w:pPr>
        <w:numPr>
          <w:ilvl w:val="0"/>
          <w:numId w:val="11"/>
        </w:numPr>
        <w:spacing w:after="120"/>
        <w:ind w:left="2126" w:hanging="357"/>
        <w:rPr>
          <w:sz w:val="22"/>
          <w:szCs w:val="22"/>
          <w:highlight w:val="yellow"/>
        </w:rPr>
      </w:pPr>
      <w:r>
        <w:rPr>
          <w:sz w:val="22"/>
          <w:highlight w:val="yellow"/>
        </w:rPr>
        <w:t>pavimento (para materiales como el asfalto)</w:t>
      </w:r>
    </w:p>
    <w:p w:rsidR="00B47A2A" w:rsidRPr="00F2670B" w:rsidRDefault="00B47A2A" w:rsidP="007A04CD">
      <w:pPr>
        <w:spacing w:after="120"/>
        <w:ind w:left="1701"/>
        <w:rPr>
          <w:sz w:val="22"/>
          <w:szCs w:val="22"/>
        </w:rPr>
      </w:pPr>
      <w:r>
        <w:rPr>
          <w:sz w:val="22"/>
        </w:rPr>
        <w:t>La revisión del/de los precio(s) unitario(s) mencionado(s) anteriormente se calculará mediante la revisión de/de los precio(s) de su(s) respectivo(s) material(es) o insumo(s) indicado(s) en el desglose detallado de precios con arreglo a la siguiente fórmula:</w:t>
      </w:r>
    </w:p>
    <w:p w:rsidR="00B47A2A" w:rsidRDefault="00BF38B4" w:rsidP="007A04CD">
      <w:pPr>
        <w:spacing w:after="120"/>
        <w:ind w:left="1701"/>
        <w:rPr>
          <w:noProof/>
        </w:rPr>
      </w:pPr>
      <w:r w:rsidRPr="002566C6">
        <w:rPr>
          <w:noProof/>
          <w:position w:val="-30"/>
        </w:rPr>
        <w:object w:dxaOrig="2140" w:dyaOrig="720">
          <v:shape id="_x0000_i1027" type="#_x0000_t75" style="width:126.75pt;height:42pt" o:ole="">
            <v:imagedata r:id="rId12" o:title=""/>
          </v:shape>
          <o:OLEObject Type="Embed" ProgID="Equation.3" ShapeID="_x0000_i1027" DrawAspect="Content" ObjectID="_1624462749" r:id="rId13"/>
        </w:object>
      </w:r>
    </w:p>
    <w:p w:rsidR="00B47A2A" w:rsidRPr="00F2670B" w:rsidRDefault="00B47A2A" w:rsidP="00F2670B">
      <w:pPr>
        <w:tabs>
          <w:tab w:val="left" w:pos="2410"/>
        </w:tabs>
        <w:ind w:left="2410" w:hanging="709"/>
        <w:jc w:val="both"/>
        <w:rPr>
          <w:sz w:val="22"/>
          <w:szCs w:val="22"/>
        </w:rPr>
      </w:pPr>
      <w:r>
        <w:rPr>
          <w:sz w:val="22"/>
        </w:rPr>
        <w:t xml:space="preserve">siendo: </w:t>
      </w:r>
    </w:p>
    <w:p w:rsidR="00B47A2A" w:rsidRPr="00CA2F80" w:rsidRDefault="009879A6" w:rsidP="00F2670B">
      <w:pPr>
        <w:tabs>
          <w:tab w:val="left" w:pos="2410"/>
        </w:tabs>
        <w:ind w:left="2410" w:hanging="709"/>
        <w:jc w:val="both"/>
        <w:rPr>
          <w:sz w:val="20"/>
        </w:rPr>
      </w:pPr>
      <w:r>
        <w:rPr>
          <w:sz w:val="20"/>
        </w:rPr>
        <w:pict>
          <v:shape id="_x0000_i1028" type="#_x0000_t75" style="width:26.25pt;height:18pt">
            <v:imagedata r:id="rId14" o:title=""/>
          </v:shape>
        </w:pict>
      </w:r>
      <w:r w:rsidR="00401C44" w:rsidRPr="00CA2F80">
        <w:rPr>
          <w:sz w:val="20"/>
        </w:rPr>
        <w:tab/>
        <w:t>Precio unitario de los materiales (en el desglose detallado de precios) en la fecha de referencia</w:t>
      </w:r>
    </w:p>
    <w:p w:rsidR="00B47A2A" w:rsidRPr="00CA2F80" w:rsidRDefault="009879A6" w:rsidP="00F2670B">
      <w:pPr>
        <w:tabs>
          <w:tab w:val="left" w:pos="2410"/>
        </w:tabs>
        <w:ind w:left="2410" w:hanging="709"/>
        <w:jc w:val="both"/>
        <w:rPr>
          <w:sz w:val="20"/>
        </w:rPr>
      </w:pPr>
      <w:r>
        <w:rPr>
          <w:sz w:val="20"/>
        </w:rPr>
        <w:pict>
          <v:shape id="_x0000_i1029" type="#_x0000_t75" style="width:26.25pt;height:18pt">
            <v:imagedata r:id="rId15" o:title=""/>
          </v:shape>
        </w:pict>
      </w:r>
      <w:r w:rsidR="00401C44" w:rsidRPr="00CA2F80">
        <w:rPr>
          <w:sz w:val="20"/>
        </w:rPr>
        <w:tab/>
        <w:t>Precio unitario revisado de los materiales (en el desglose detallado de precios) en el mes n</w:t>
      </w:r>
    </w:p>
    <w:p w:rsidR="00B47A2A" w:rsidRPr="00F2670B" w:rsidRDefault="0045724E" w:rsidP="00F2670B">
      <w:pPr>
        <w:tabs>
          <w:tab w:val="left" w:pos="2410"/>
        </w:tabs>
        <w:ind w:left="2410" w:hanging="709"/>
        <w:jc w:val="both"/>
        <w:rPr>
          <w:sz w:val="20"/>
        </w:rPr>
      </w:pPr>
      <w:r w:rsidRPr="0045724E">
        <w:rPr>
          <w:noProof/>
          <w:snapToGrid/>
          <w:sz w:val="20"/>
        </w:rPr>
        <w:t>Mat</w:t>
      </w:r>
      <w:r w:rsidRPr="0045724E">
        <w:rPr>
          <w:noProof/>
          <w:snapToGrid/>
          <w:sz w:val="20"/>
          <w:vertAlign w:val="subscript"/>
        </w:rPr>
        <w:t>0</w:t>
      </w:r>
      <w:r w:rsidR="00B47A2A">
        <w:rPr>
          <w:sz w:val="20"/>
        </w:rPr>
        <w:t>=</w:t>
      </w:r>
      <w:r w:rsidR="00B47A2A">
        <w:tab/>
      </w:r>
      <w:r w:rsidR="00B47A2A">
        <w:rPr>
          <w:sz w:val="20"/>
        </w:rPr>
        <w:t>Precio oficial de suministro o índice correspondiente de los materiales de que se trate en la fecha de referencia</w:t>
      </w:r>
    </w:p>
    <w:p w:rsidR="00B47A2A" w:rsidRPr="00F2670B" w:rsidRDefault="0045724E" w:rsidP="00F2670B">
      <w:pPr>
        <w:tabs>
          <w:tab w:val="left" w:pos="2410"/>
        </w:tabs>
        <w:ind w:left="2410" w:hanging="709"/>
        <w:jc w:val="both"/>
        <w:rPr>
          <w:sz w:val="20"/>
        </w:rPr>
      </w:pPr>
      <w:r w:rsidRPr="0045724E">
        <w:rPr>
          <w:noProof/>
          <w:snapToGrid/>
          <w:sz w:val="20"/>
        </w:rPr>
        <w:t>Mat</w:t>
      </w:r>
      <w:r>
        <w:rPr>
          <w:noProof/>
          <w:snapToGrid/>
          <w:sz w:val="20"/>
          <w:vertAlign w:val="subscript"/>
        </w:rPr>
        <w:t>n</w:t>
      </w:r>
      <w:r w:rsidR="00B47A2A">
        <w:rPr>
          <w:sz w:val="20"/>
        </w:rPr>
        <w:t>=</w:t>
      </w:r>
      <w:r w:rsidR="00B47A2A">
        <w:tab/>
      </w:r>
      <w:r w:rsidR="00B47A2A">
        <w:rPr>
          <w:sz w:val="20"/>
        </w:rPr>
        <w:t>Precio oficial de suministro o índice correspondiente de los materiales de que se trate en el mes n</w:t>
      </w:r>
    </w:p>
    <w:p w:rsidR="00B47A2A" w:rsidRDefault="0045724E" w:rsidP="00F2670B">
      <w:pPr>
        <w:tabs>
          <w:tab w:val="left" w:pos="2410"/>
        </w:tabs>
        <w:ind w:left="2410" w:hanging="709"/>
        <w:jc w:val="both"/>
        <w:rPr>
          <w:sz w:val="20"/>
        </w:rPr>
      </w:pPr>
      <w:r w:rsidRPr="0045724E">
        <w:rPr>
          <w:noProof/>
          <w:snapToGrid/>
          <w:sz w:val="20"/>
        </w:rPr>
        <w:t>Tx</w:t>
      </w:r>
      <w:r w:rsidRPr="0045724E">
        <w:rPr>
          <w:noProof/>
          <w:snapToGrid/>
          <w:sz w:val="20"/>
          <w:vertAlign w:val="subscript"/>
        </w:rPr>
        <w:t>0</w:t>
      </w:r>
      <w:r w:rsidR="00B47A2A">
        <w:rPr>
          <w:sz w:val="20"/>
        </w:rPr>
        <w:t>=</w:t>
      </w:r>
      <w:r w:rsidR="00B47A2A">
        <w:tab/>
      </w:r>
      <w:r w:rsidR="00B47A2A">
        <w:rPr>
          <w:sz w:val="20"/>
        </w:rPr>
        <w:t xml:space="preserve">Tipo de cambio entre la moneda </w:t>
      </w:r>
      <w:r w:rsidR="001D660A">
        <w:rPr>
          <w:sz w:val="20"/>
        </w:rPr>
        <w:t xml:space="preserve">del indicador </w:t>
      </w:r>
      <w:r w:rsidRPr="0045724E">
        <w:rPr>
          <w:noProof/>
          <w:snapToGrid/>
          <w:sz w:val="20"/>
        </w:rPr>
        <w:t>Mat</w:t>
      </w:r>
      <w:r w:rsidRPr="0045724E">
        <w:rPr>
          <w:noProof/>
          <w:snapToGrid/>
          <w:sz w:val="20"/>
          <w:vertAlign w:val="subscript"/>
        </w:rPr>
        <w:t>0</w:t>
      </w:r>
      <w:r>
        <w:rPr>
          <w:sz w:val="20"/>
        </w:rPr>
        <w:t xml:space="preserve"> «C» y la moneda </w:t>
      </w:r>
      <w:r w:rsidR="00B47A2A">
        <w:rPr>
          <w:sz w:val="20"/>
        </w:rPr>
        <w:t xml:space="preserve">de pago del </w:t>
      </w:r>
      <w:r w:rsidR="00B42C3E">
        <w:rPr>
          <w:sz w:val="20"/>
        </w:rPr>
        <w:t>contrato</w:t>
      </w:r>
      <w:r w:rsidR="00B47A2A">
        <w:rPr>
          <w:sz w:val="20"/>
        </w:rPr>
        <w:t xml:space="preserve"> </w:t>
      </w:r>
      <w:r>
        <w:rPr>
          <w:sz w:val="20"/>
        </w:rPr>
        <w:t xml:space="preserve">«E» </w:t>
      </w:r>
      <w:r w:rsidR="00B47A2A">
        <w:rPr>
          <w:sz w:val="20"/>
        </w:rPr>
        <w:t>(de conformidad con la cláusula 44.1) en la fecha de referencia</w:t>
      </w:r>
      <w:r>
        <w:rPr>
          <w:sz w:val="20"/>
        </w:rPr>
        <w:t xml:space="preserve">: </w:t>
      </w:r>
      <w:r w:rsidRPr="006015D0">
        <w:rPr>
          <w:sz w:val="20"/>
        </w:rPr>
        <w:t xml:space="preserve">1 C = </w:t>
      </w:r>
      <w:r w:rsidRPr="0045724E">
        <w:rPr>
          <w:noProof/>
          <w:snapToGrid/>
          <w:sz w:val="20"/>
        </w:rPr>
        <w:t>Tx</w:t>
      </w:r>
      <w:r w:rsidRPr="0045724E">
        <w:rPr>
          <w:noProof/>
          <w:snapToGrid/>
          <w:sz w:val="20"/>
          <w:vertAlign w:val="subscript"/>
        </w:rPr>
        <w:t>0</w:t>
      </w:r>
      <w:r w:rsidRPr="006015D0">
        <w:rPr>
          <w:sz w:val="20"/>
        </w:rPr>
        <w:t xml:space="preserve"> E</w:t>
      </w:r>
    </w:p>
    <w:p w:rsidR="00EE6E3C" w:rsidRPr="00F2670B" w:rsidRDefault="00EE6E3C" w:rsidP="00F2670B">
      <w:pPr>
        <w:tabs>
          <w:tab w:val="left" w:pos="2410"/>
        </w:tabs>
        <w:ind w:left="2410" w:hanging="709"/>
        <w:jc w:val="both"/>
        <w:rPr>
          <w:sz w:val="20"/>
        </w:rPr>
      </w:pPr>
      <w:r>
        <w:rPr>
          <w:sz w:val="20"/>
        </w:rPr>
        <w:tab/>
      </w:r>
      <w:r w:rsidRPr="00EE6E3C">
        <w:rPr>
          <w:sz w:val="20"/>
        </w:rPr>
        <w:t xml:space="preserve">Los tipos de cambio serán los publicados en el </w:t>
      </w:r>
      <w:r>
        <w:rPr>
          <w:sz w:val="20"/>
        </w:rPr>
        <w:t xml:space="preserve">sitio </w:t>
      </w:r>
      <w:r w:rsidRPr="00EE6E3C">
        <w:rPr>
          <w:sz w:val="20"/>
        </w:rPr>
        <w:t xml:space="preserve">InforEuro, que se encuentra actualmente </w:t>
      </w:r>
      <w:r>
        <w:rPr>
          <w:sz w:val="20"/>
        </w:rPr>
        <w:t>http://ec.europa.eu/budget/index_en.cfm</w:t>
      </w:r>
    </w:p>
    <w:p w:rsidR="00B47A2A" w:rsidRPr="00F2670B" w:rsidRDefault="0045724E" w:rsidP="00F2670B">
      <w:pPr>
        <w:tabs>
          <w:tab w:val="left" w:pos="2410"/>
        </w:tabs>
        <w:ind w:left="2410" w:hanging="709"/>
        <w:jc w:val="both"/>
        <w:rPr>
          <w:sz w:val="20"/>
        </w:rPr>
      </w:pPr>
      <w:r w:rsidRPr="0045724E">
        <w:rPr>
          <w:noProof/>
          <w:snapToGrid/>
          <w:sz w:val="20"/>
        </w:rPr>
        <w:t>Tx</w:t>
      </w:r>
      <w:r>
        <w:rPr>
          <w:noProof/>
          <w:snapToGrid/>
          <w:sz w:val="20"/>
          <w:vertAlign w:val="subscript"/>
        </w:rPr>
        <w:t>n</w:t>
      </w:r>
      <w:r w:rsidR="00B47A2A">
        <w:rPr>
          <w:sz w:val="20"/>
        </w:rPr>
        <w:t xml:space="preserve"> =</w:t>
      </w:r>
      <w:r w:rsidR="00B47A2A">
        <w:tab/>
      </w:r>
      <w:r w:rsidRPr="0045724E">
        <w:rPr>
          <w:sz w:val="20"/>
        </w:rPr>
        <w:t>Mismo t</w:t>
      </w:r>
      <w:r w:rsidR="00B47A2A">
        <w:rPr>
          <w:sz w:val="20"/>
        </w:rPr>
        <w:t>ipo de cambio en el mes n</w:t>
      </w:r>
      <w:r>
        <w:rPr>
          <w:sz w:val="20"/>
        </w:rPr>
        <w:t xml:space="preserve">: </w:t>
      </w:r>
      <w:r w:rsidRPr="006015D0">
        <w:rPr>
          <w:sz w:val="20"/>
        </w:rPr>
        <w:t xml:space="preserve">1 C = </w:t>
      </w:r>
      <w:r w:rsidRPr="0045724E">
        <w:rPr>
          <w:noProof/>
          <w:snapToGrid/>
          <w:sz w:val="20"/>
        </w:rPr>
        <w:t>Tx</w:t>
      </w:r>
      <w:r>
        <w:rPr>
          <w:noProof/>
          <w:snapToGrid/>
          <w:sz w:val="20"/>
          <w:vertAlign w:val="subscript"/>
        </w:rPr>
        <w:t>n</w:t>
      </w:r>
      <w:r w:rsidRPr="006015D0">
        <w:rPr>
          <w:sz w:val="20"/>
        </w:rPr>
        <w:t xml:space="preserve"> E</w:t>
      </w:r>
    </w:p>
    <w:p w:rsidR="00B47A2A" w:rsidRPr="00F2670B" w:rsidRDefault="00B47A2A" w:rsidP="00F2670B">
      <w:pPr>
        <w:spacing w:before="120" w:after="120"/>
        <w:ind w:left="1701"/>
        <w:rPr>
          <w:noProof/>
          <w:sz w:val="22"/>
          <w:szCs w:val="22"/>
          <w:highlight w:val="yellow"/>
        </w:rPr>
      </w:pPr>
      <w:r>
        <w:rPr>
          <w:noProof/>
          <w:sz w:val="22"/>
          <w:highlight w:val="yellow"/>
        </w:rPr>
        <w:t>En las Condiciones Particulares deberá indicarse:</w:t>
      </w:r>
    </w:p>
    <w:p w:rsidR="00B47A2A" w:rsidRPr="00F2670B" w:rsidRDefault="00B47A2A" w:rsidP="00A0682C">
      <w:pPr>
        <w:numPr>
          <w:ilvl w:val="0"/>
          <w:numId w:val="11"/>
        </w:numPr>
        <w:spacing w:after="120"/>
        <w:ind w:left="2126" w:hanging="357"/>
        <w:rPr>
          <w:sz w:val="22"/>
          <w:szCs w:val="22"/>
          <w:highlight w:val="yellow"/>
        </w:rPr>
      </w:pPr>
      <w:r>
        <w:rPr>
          <w:sz w:val="22"/>
          <w:highlight w:val="yellow"/>
        </w:rPr>
        <w:t>la naturaleza del precio de suministro oficial o el índice correspondiente,</w:t>
      </w:r>
      <w:r w:rsidR="005D6248">
        <w:rPr>
          <w:sz w:val="22"/>
          <w:highlight w:val="yellow"/>
        </w:rPr>
        <w:t xml:space="preserve"> </w:t>
      </w:r>
    </w:p>
    <w:p w:rsidR="00B47A2A" w:rsidRPr="00F2670B" w:rsidRDefault="00B47A2A" w:rsidP="00A0682C">
      <w:pPr>
        <w:numPr>
          <w:ilvl w:val="0"/>
          <w:numId w:val="11"/>
        </w:numPr>
        <w:spacing w:after="120"/>
        <w:ind w:left="2126" w:hanging="357"/>
        <w:rPr>
          <w:sz w:val="22"/>
          <w:szCs w:val="22"/>
          <w:highlight w:val="yellow"/>
        </w:rPr>
      </w:pPr>
      <w:r>
        <w:rPr>
          <w:sz w:val="22"/>
          <w:highlight w:val="yellow"/>
        </w:rPr>
        <w:t>los valores de referencia de los precios, los índices y el tipo de cambio de las monedas.</w:t>
      </w:r>
    </w:p>
    <w:p w:rsidR="00B47A2A" w:rsidRPr="00F2670B" w:rsidRDefault="00B47A2A" w:rsidP="007A04CD">
      <w:pPr>
        <w:spacing w:before="120" w:after="120"/>
        <w:ind w:left="1701"/>
        <w:outlineLvl w:val="8"/>
        <w:rPr>
          <w:rFonts w:eastAsia="Calibri"/>
          <w:snapToGrid/>
          <w:sz w:val="22"/>
          <w:szCs w:val="22"/>
        </w:rPr>
      </w:pPr>
      <w:r>
        <w:rPr>
          <w:snapToGrid/>
          <w:sz w:val="22"/>
        </w:rPr>
        <w:t xml:space="preserve">Para este </w:t>
      </w:r>
      <w:r w:rsidR="00B42C3E">
        <w:rPr>
          <w:snapToGrid/>
          <w:sz w:val="22"/>
        </w:rPr>
        <w:t>contrato</w:t>
      </w:r>
      <w:r>
        <w:rPr>
          <w:snapToGrid/>
          <w:sz w:val="22"/>
        </w:rPr>
        <w:t xml:space="preserve"> se utilizarán los siguientes índices y valores de referencia:</w:t>
      </w:r>
    </w:p>
    <w:tbl>
      <w:tblPr>
        <w:tblW w:w="7797"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6"/>
        <w:gridCol w:w="2353"/>
        <w:gridCol w:w="1398"/>
        <w:gridCol w:w="1440"/>
        <w:gridCol w:w="1440"/>
      </w:tblGrid>
      <w:tr w:rsidR="00B47A2A" w:rsidRPr="00B47A2A" w:rsidTr="007A04CD">
        <w:tc>
          <w:tcPr>
            <w:tcW w:w="1276" w:type="dxa"/>
            <w:shd w:val="pct5" w:color="auto" w:fill="auto"/>
          </w:tcPr>
          <w:p w:rsidR="00B47A2A" w:rsidRPr="00B47A2A" w:rsidRDefault="00B47A2A" w:rsidP="00B47A2A">
            <w:pPr>
              <w:jc w:val="center"/>
              <w:outlineLvl w:val="8"/>
              <w:rPr>
                <w:rFonts w:eastAsia="Calibri"/>
                <w:b/>
                <w:snapToGrid/>
                <w:sz w:val="20"/>
              </w:rPr>
            </w:pPr>
            <w:r>
              <w:rPr>
                <w:b/>
                <w:snapToGrid/>
                <w:sz w:val="20"/>
              </w:rPr>
              <w:t>Material</w:t>
            </w:r>
          </w:p>
        </w:tc>
        <w:tc>
          <w:tcPr>
            <w:tcW w:w="2835" w:type="dxa"/>
            <w:shd w:val="pct5" w:color="auto" w:fill="auto"/>
          </w:tcPr>
          <w:p w:rsidR="00B47A2A" w:rsidRPr="00B47A2A" w:rsidRDefault="00B47A2A" w:rsidP="00B47A2A">
            <w:pPr>
              <w:jc w:val="center"/>
              <w:outlineLvl w:val="8"/>
              <w:rPr>
                <w:rFonts w:eastAsia="Calibri"/>
                <w:b/>
                <w:snapToGrid/>
                <w:sz w:val="20"/>
              </w:rPr>
            </w:pPr>
            <w:r>
              <w:rPr>
                <w:b/>
                <w:snapToGrid/>
                <w:sz w:val="20"/>
              </w:rPr>
              <w:t xml:space="preserve">Mat </w:t>
            </w:r>
          </w:p>
          <w:p w:rsidR="00B47A2A" w:rsidRPr="00B47A2A" w:rsidRDefault="00B47A2A" w:rsidP="00B47A2A">
            <w:pPr>
              <w:jc w:val="center"/>
              <w:outlineLvl w:val="8"/>
              <w:rPr>
                <w:rFonts w:eastAsia="Calibri"/>
                <w:b/>
                <w:snapToGrid/>
                <w:sz w:val="20"/>
              </w:rPr>
            </w:pPr>
            <w:r>
              <w:rPr>
                <w:b/>
                <w:snapToGrid/>
                <w:sz w:val="20"/>
              </w:rPr>
              <w:t xml:space="preserve">(precio de suministro oficial o </w:t>
            </w:r>
          </w:p>
          <w:p w:rsidR="00B47A2A" w:rsidRPr="00B47A2A" w:rsidRDefault="00B47A2A" w:rsidP="00B47A2A">
            <w:pPr>
              <w:jc w:val="center"/>
              <w:outlineLvl w:val="8"/>
              <w:rPr>
                <w:rFonts w:eastAsia="Calibri"/>
                <w:b/>
                <w:snapToGrid/>
                <w:sz w:val="20"/>
              </w:rPr>
            </w:pPr>
            <w:r>
              <w:rPr>
                <w:b/>
                <w:snapToGrid/>
                <w:sz w:val="20"/>
              </w:rPr>
              <w:t>índice correspondiente)</w:t>
            </w:r>
          </w:p>
        </w:tc>
        <w:tc>
          <w:tcPr>
            <w:tcW w:w="1701" w:type="dxa"/>
            <w:shd w:val="pct5" w:color="auto" w:fill="auto"/>
          </w:tcPr>
          <w:p w:rsidR="00B47A2A" w:rsidRPr="00B47A2A" w:rsidRDefault="00B47A2A" w:rsidP="00B47A2A">
            <w:pPr>
              <w:jc w:val="center"/>
              <w:outlineLvl w:val="8"/>
              <w:rPr>
                <w:rFonts w:eastAsia="Calibri"/>
                <w:b/>
                <w:snapToGrid/>
                <w:sz w:val="20"/>
              </w:rPr>
            </w:pPr>
            <w:r>
              <w:rPr>
                <w:b/>
                <w:snapToGrid/>
                <w:sz w:val="20"/>
              </w:rPr>
              <w:t>Moneda del Mat</w:t>
            </w:r>
          </w:p>
        </w:tc>
        <w:tc>
          <w:tcPr>
            <w:tcW w:w="992" w:type="dxa"/>
            <w:shd w:val="pct5" w:color="auto" w:fill="auto"/>
          </w:tcPr>
          <w:p w:rsidR="00B47A2A" w:rsidRPr="00B47A2A" w:rsidRDefault="00B47A2A" w:rsidP="00B47A2A">
            <w:pPr>
              <w:jc w:val="center"/>
              <w:outlineLvl w:val="8"/>
              <w:rPr>
                <w:rFonts w:eastAsia="Calibri"/>
                <w:b/>
                <w:snapToGrid/>
                <w:sz w:val="20"/>
              </w:rPr>
            </w:pPr>
            <w:r>
              <w:rPr>
                <w:b/>
                <w:noProof/>
                <w:snapToGrid/>
                <w:sz w:val="20"/>
              </w:rPr>
              <w:t>Mat</w:t>
            </w:r>
            <w:r>
              <w:rPr>
                <w:b/>
                <w:noProof/>
                <w:snapToGrid/>
                <w:sz w:val="20"/>
                <w:vertAlign w:val="subscript"/>
              </w:rPr>
              <w:t>0</w:t>
            </w:r>
          </w:p>
        </w:tc>
        <w:tc>
          <w:tcPr>
            <w:tcW w:w="993" w:type="dxa"/>
            <w:shd w:val="pct5" w:color="auto" w:fill="auto"/>
          </w:tcPr>
          <w:p w:rsidR="00B47A2A" w:rsidRPr="00B47A2A" w:rsidRDefault="00B47A2A" w:rsidP="00B47A2A">
            <w:pPr>
              <w:jc w:val="center"/>
              <w:outlineLvl w:val="8"/>
              <w:rPr>
                <w:rFonts w:eastAsia="Calibri"/>
                <w:b/>
                <w:snapToGrid/>
                <w:sz w:val="20"/>
              </w:rPr>
            </w:pPr>
            <w:r>
              <w:rPr>
                <w:b/>
                <w:noProof/>
                <w:snapToGrid/>
                <w:sz w:val="20"/>
              </w:rPr>
              <w:t>Tx</w:t>
            </w:r>
            <w:r>
              <w:rPr>
                <w:b/>
                <w:noProof/>
                <w:snapToGrid/>
                <w:sz w:val="20"/>
                <w:vertAlign w:val="subscript"/>
              </w:rPr>
              <w:t>0</w:t>
            </w:r>
          </w:p>
        </w:tc>
      </w:tr>
      <w:tr w:rsidR="00B47A2A" w:rsidRPr="00B47A2A" w:rsidTr="007A04CD">
        <w:tc>
          <w:tcPr>
            <w:tcW w:w="1276" w:type="dxa"/>
            <w:shd w:val="clear" w:color="auto" w:fill="auto"/>
          </w:tcPr>
          <w:p w:rsidR="00B47A2A" w:rsidRPr="00B47A2A" w:rsidRDefault="00B47A2A" w:rsidP="007A04CD">
            <w:pPr>
              <w:jc w:val="center"/>
              <w:outlineLvl w:val="8"/>
              <w:rPr>
                <w:rFonts w:eastAsia="Calibri"/>
                <w:snapToGrid/>
                <w:sz w:val="20"/>
              </w:rPr>
            </w:pPr>
            <w:r>
              <w:rPr>
                <w:snapToGrid/>
                <w:sz w:val="20"/>
              </w:rPr>
              <w:t>&lt;</w:t>
            </w:r>
            <w:r w:rsidRPr="00BF38B4">
              <w:rPr>
                <w:snapToGrid/>
                <w:sz w:val="20"/>
                <w:highlight w:val="yellow"/>
              </w:rPr>
              <w:t>Material 1</w:t>
            </w:r>
            <w:r>
              <w:rPr>
                <w:snapToGrid/>
                <w:sz w:val="20"/>
              </w:rPr>
              <w:t>&gt;</w:t>
            </w:r>
          </w:p>
        </w:tc>
        <w:tc>
          <w:tcPr>
            <w:tcW w:w="2835" w:type="dxa"/>
            <w:shd w:val="clear" w:color="auto" w:fill="auto"/>
          </w:tcPr>
          <w:p w:rsidR="00B47A2A" w:rsidRPr="00B47A2A" w:rsidRDefault="00B47A2A" w:rsidP="007A04CD">
            <w:pPr>
              <w:jc w:val="center"/>
              <w:outlineLvl w:val="8"/>
              <w:rPr>
                <w:rFonts w:eastAsia="Calibri"/>
                <w:snapToGrid/>
                <w:sz w:val="20"/>
              </w:rPr>
            </w:pPr>
            <w:r>
              <w:rPr>
                <w:snapToGrid/>
                <w:sz w:val="20"/>
              </w:rPr>
              <w:t>&lt;</w:t>
            </w:r>
            <w:r w:rsidRPr="00BF38B4">
              <w:rPr>
                <w:snapToGrid/>
                <w:sz w:val="20"/>
                <w:highlight w:val="yellow"/>
              </w:rPr>
              <w:t>Especifíquese el precio oficial de suministro o el índice correspondiente y la fuente de publicación</w:t>
            </w:r>
            <w:r>
              <w:rPr>
                <w:snapToGrid/>
                <w:sz w:val="20"/>
              </w:rPr>
              <w:t>&gt;</w:t>
            </w:r>
          </w:p>
        </w:tc>
        <w:tc>
          <w:tcPr>
            <w:tcW w:w="1701" w:type="dxa"/>
            <w:shd w:val="clear" w:color="auto" w:fill="auto"/>
          </w:tcPr>
          <w:p w:rsidR="00B47A2A" w:rsidRPr="00B47A2A" w:rsidRDefault="00B47A2A" w:rsidP="007A04CD">
            <w:pPr>
              <w:jc w:val="center"/>
              <w:outlineLvl w:val="8"/>
              <w:rPr>
                <w:rFonts w:eastAsia="Calibri"/>
                <w:snapToGrid/>
                <w:sz w:val="20"/>
                <w:highlight w:val="lightGray"/>
              </w:rPr>
            </w:pPr>
            <w:r w:rsidRPr="00BF38B4">
              <w:rPr>
                <w:snapToGrid/>
                <w:sz w:val="20"/>
                <w:highlight w:val="yellow"/>
              </w:rPr>
              <w:t xml:space="preserve">&lt;moneda del </w:t>
            </w:r>
            <w:r w:rsidR="00B42C3E">
              <w:rPr>
                <w:snapToGrid/>
                <w:sz w:val="20"/>
                <w:highlight w:val="yellow"/>
              </w:rPr>
              <w:t>contrato</w:t>
            </w:r>
            <w:r w:rsidRPr="00BF38B4">
              <w:rPr>
                <w:snapToGrid/>
                <w:sz w:val="20"/>
                <w:highlight w:val="yellow"/>
              </w:rPr>
              <w:t xml:space="preserve"> / otra moneda&gt;</w:t>
            </w:r>
          </w:p>
        </w:tc>
        <w:tc>
          <w:tcPr>
            <w:tcW w:w="992" w:type="dxa"/>
            <w:shd w:val="clear" w:color="auto" w:fill="auto"/>
          </w:tcPr>
          <w:p w:rsidR="00B47A2A" w:rsidRPr="00B47A2A" w:rsidRDefault="00B47A2A" w:rsidP="007A04CD">
            <w:pPr>
              <w:jc w:val="center"/>
              <w:outlineLvl w:val="8"/>
              <w:rPr>
                <w:rFonts w:eastAsia="Calibri"/>
                <w:snapToGrid/>
                <w:sz w:val="20"/>
                <w:highlight w:val="lightGray"/>
              </w:rPr>
            </w:pPr>
            <w:r w:rsidRPr="00BF38B4">
              <w:rPr>
                <w:snapToGrid/>
                <w:sz w:val="20"/>
                <w:highlight w:val="yellow"/>
              </w:rPr>
              <w:t xml:space="preserve">&lt;Especifíquese </w:t>
            </w:r>
            <w:r w:rsidRPr="00BF38B4">
              <w:rPr>
                <w:noProof/>
                <w:snapToGrid/>
                <w:sz w:val="22"/>
                <w:highlight w:val="yellow"/>
              </w:rPr>
              <w:t>Mat</w:t>
            </w:r>
            <w:r w:rsidRPr="00BF38B4">
              <w:rPr>
                <w:noProof/>
                <w:snapToGrid/>
                <w:sz w:val="22"/>
                <w:highlight w:val="yellow"/>
                <w:vertAlign w:val="subscript"/>
              </w:rPr>
              <w:t>0</w:t>
            </w:r>
            <w:r w:rsidRPr="00BF38B4">
              <w:rPr>
                <w:noProof/>
                <w:snapToGrid/>
                <w:sz w:val="22"/>
                <w:highlight w:val="yellow"/>
              </w:rPr>
              <w:t>&gt;</w:t>
            </w:r>
          </w:p>
        </w:tc>
        <w:tc>
          <w:tcPr>
            <w:tcW w:w="993" w:type="dxa"/>
            <w:shd w:val="clear" w:color="auto" w:fill="auto"/>
          </w:tcPr>
          <w:p w:rsidR="00B47A2A" w:rsidRPr="00B47A2A" w:rsidRDefault="00B47A2A" w:rsidP="007A04CD">
            <w:pPr>
              <w:jc w:val="center"/>
              <w:outlineLvl w:val="8"/>
              <w:rPr>
                <w:rFonts w:eastAsia="Calibri"/>
                <w:snapToGrid/>
                <w:sz w:val="20"/>
                <w:highlight w:val="lightGray"/>
              </w:rPr>
            </w:pPr>
            <w:r w:rsidRPr="00BF38B4">
              <w:rPr>
                <w:snapToGrid/>
                <w:sz w:val="20"/>
                <w:highlight w:val="yellow"/>
              </w:rPr>
              <w:t xml:space="preserve">&lt;Especifíquese </w:t>
            </w:r>
            <w:r w:rsidRPr="00BF38B4">
              <w:rPr>
                <w:noProof/>
                <w:snapToGrid/>
                <w:sz w:val="22"/>
                <w:highlight w:val="yellow"/>
              </w:rPr>
              <w:t>Tx</w:t>
            </w:r>
            <w:r w:rsidRPr="00BF38B4">
              <w:rPr>
                <w:noProof/>
                <w:snapToGrid/>
                <w:sz w:val="22"/>
                <w:highlight w:val="yellow"/>
                <w:vertAlign w:val="subscript"/>
              </w:rPr>
              <w:t xml:space="preserve">0 </w:t>
            </w:r>
            <w:r w:rsidRPr="00BF38B4">
              <w:rPr>
                <w:snapToGrid/>
                <w:sz w:val="20"/>
                <w:highlight w:val="yellow"/>
              </w:rPr>
              <w:t>&gt;</w:t>
            </w:r>
          </w:p>
        </w:tc>
      </w:tr>
      <w:tr w:rsidR="00B47A2A" w:rsidRPr="00B47A2A" w:rsidTr="007A04CD">
        <w:tc>
          <w:tcPr>
            <w:tcW w:w="1276" w:type="dxa"/>
            <w:shd w:val="clear" w:color="auto" w:fill="auto"/>
          </w:tcPr>
          <w:p w:rsidR="00B47A2A" w:rsidRPr="00B47A2A" w:rsidRDefault="00B47A2A" w:rsidP="007A04CD">
            <w:pPr>
              <w:jc w:val="center"/>
              <w:outlineLvl w:val="8"/>
              <w:rPr>
                <w:rFonts w:eastAsia="Calibri"/>
                <w:snapToGrid/>
                <w:sz w:val="20"/>
              </w:rPr>
            </w:pPr>
            <w:r>
              <w:rPr>
                <w:snapToGrid/>
                <w:sz w:val="20"/>
              </w:rPr>
              <w:t>&lt;</w:t>
            </w:r>
            <w:r w:rsidRPr="00BF38B4">
              <w:rPr>
                <w:snapToGrid/>
                <w:sz w:val="20"/>
                <w:highlight w:val="yellow"/>
              </w:rPr>
              <w:t>Material 2</w:t>
            </w:r>
            <w:r>
              <w:rPr>
                <w:snapToGrid/>
                <w:sz w:val="20"/>
              </w:rPr>
              <w:t>&gt;</w:t>
            </w:r>
          </w:p>
        </w:tc>
        <w:tc>
          <w:tcPr>
            <w:tcW w:w="2835" w:type="dxa"/>
            <w:shd w:val="clear" w:color="auto" w:fill="auto"/>
          </w:tcPr>
          <w:p w:rsidR="00B47A2A" w:rsidRPr="00B47A2A" w:rsidRDefault="00B47A2A" w:rsidP="007A04CD">
            <w:pPr>
              <w:jc w:val="center"/>
              <w:outlineLvl w:val="8"/>
              <w:rPr>
                <w:rFonts w:eastAsia="Calibri"/>
                <w:snapToGrid/>
                <w:sz w:val="20"/>
                <w:highlight w:val="lightGray"/>
              </w:rPr>
            </w:pPr>
            <w:r w:rsidRPr="00BF38B4">
              <w:rPr>
                <w:snapToGrid/>
                <w:sz w:val="20"/>
                <w:highlight w:val="yellow"/>
              </w:rPr>
              <w:t>&lt;Especifíquese el precio oficial de suministro o el índice correspondiente y la fuente de publicación&gt;</w:t>
            </w:r>
          </w:p>
        </w:tc>
        <w:tc>
          <w:tcPr>
            <w:tcW w:w="1701" w:type="dxa"/>
            <w:shd w:val="clear" w:color="auto" w:fill="auto"/>
          </w:tcPr>
          <w:p w:rsidR="00B47A2A" w:rsidRPr="00B47A2A" w:rsidRDefault="00B47A2A" w:rsidP="007A04CD">
            <w:pPr>
              <w:jc w:val="center"/>
              <w:outlineLvl w:val="8"/>
              <w:rPr>
                <w:rFonts w:eastAsia="Calibri"/>
                <w:snapToGrid/>
                <w:sz w:val="20"/>
                <w:highlight w:val="lightGray"/>
              </w:rPr>
            </w:pPr>
            <w:r w:rsidRPr="00BF38B4">
              <w:rPr>
                <w:snapToGrid/>
                <w:sz w:val="20"/>
                <w:highlight w:val="yellow"/>
              </w:rPr>
              <w:t xml:space="preserve">&lt;moneda del </w:t>
            </w:r>
            <w:r w:rsidR="00B42C3E">
              <w:rPr>
                <w:snapToGrid/>
                <w:sz w:val="20"/>
                <w:highlight w:val="yellow"/>
              </w:rPr>
              <w:t>contrato</w:t>
            </w:r>
            <w:r w:rsidRPr="00BF38B4">
              <w:rPr>
                <w:snapToGrid/>
                <w:sz w:val="20"/>
                <w:highlight w:val="yellow"/>
              </w:rPr>
              <w:t xml:space="preserve"> / otra moneda&gt;</w:t>
            </w:r>
          </w:p>
        </w:tc>
        <w:tc>
          <w:tcPr>
            <w:tcW w:w="992" w:type="dxa"/>
            <w:shd w:val="clear" w:color="auto" w:fill="auto"/>
          </w:tcPr>
          <w:p w:rsidR="00B47A2A" w:rsidRPr="00B47A2A" w:rsidRDefault="00B47A2A" w:rsidP="007A04CD">
            <w:pPr>
              <w:jc w:val="center"/>
              <w:outlineLvl w:val="8"/>
              <w:rPr>
                <w:rFonts w:eastAsia="Calibri"/>
                <w:snapToGrid/>
                <w:sz w:val="20"/>
                <w:highlight w:val="lightGray"/>
              </w:rPr>
            </w:pPr>
            <w:r w:rsidRPr="00BF38B4">
              <w:rPr>
                <w:snapToGrid/>
                <w:sz w:val="20"/>
                <w:highlight w:val="yellow"/>
              </w:rPr>
              <w:t xml:space="preserve">&lt;Especifíquese </w:t>
            </w:r>
            <w:r w:rsidRPr="00BF38B4">
              <w:rPr>
                <w:noProof/>
                <w:snapToGrid/>
                <w:sz w:val="22"/>
                <w:highlight w:val="yellow"/>
              </w:rPr>
              <w:t>Mat</w:t>
            </w:r>
            <w:r w:rsidRPr="00BF38B4">
              <w:rPr>
                <w:noProof/>
                <w:snapToGrid/>
                <w:sz w:val="22"/>
                <w:highlight w:val="yellow"/>
                <w:vertAlign w:val="subscript"/>
              </w:rPr>
              <w:t>0</w:t>
            </w:r>
            <w:r w:rsidRPr="00BF38B4">
              <w:rPr>
                <w:noProof/>
                <w:snapToGrid/>
                <w:sz w:val="22"/>
                <w:highlight w:val="yellow"/>
              </w:rPr>
              <w:t>&gt;</w:t>
            </w:r>
          </w:p>
        </w:tc>
        <w:tc>
          <w:tcPr>
            <w:tcW w:w="993" w:type="dxa"/>
            <w:shd w:val="clear" w:color="auto" w:fill="auto"/>
          </w:tcPr>
          <w:p w:rsidR="00B47A2A" w:rsidRPr="00B47A2A" w:rsidRDefault="00B47A2A" w:rsidP="007A04CD">
            <w:pPr>
              <w:jc w:val="center"/>
              <w:outlineLvl w:val="8"/>
              <w:rPr>
                <w:rFonts w:eastAsia="Calibri"/>
                <w:snapToGrid/>
                <w:sz w:val="20"/>
                <w:highlight w:val="lightGray"/>
              </w:rPr>
            </w:pPr>
            <w:r w:rsidRPr="00BF38B4">
              <w:rPr>
                <w:snapToGrid/>
                <w:sz w:val="20"/>
                <w:highlight w:val="yellow"/>
              </w:rPr>
              <w:t xml:space="preserve">&lt;Especifíquese </w:t>
            </w:r>
            <w:r w:rsidRPr="00BF38B4">
              <w:rPr>
                <w:noProof/>
                <w:snapToGrid/>
                <w:sz w:val="22"/>
                <w:highlight w:val="yellow"/>
              </w:rPr>
              <w:t>Tx</w:t>
            </w:r>
            <w:r w:rsidRPr="00BF38B4">
              <w:rPr>
                <w:noProof/>
                <w:snapToGrid/>
                <w:sz w:val="22"/>
                <w:highlight w:val="yellow"/>
                <w:vertAlign w:val="subscript"/>
              </w:rPr>
              <w:t xml:space="preserve">0 </w:t>
            </w:r>
            <w:r w:rsidRPr="00BF38B4">
              <w:rPr>
                <w:snapToGrid/>
                <w:sz w:val="20"/>
                <w:highlight w:val="yellow"/>
              </w:rPr>
              <w:t>&gt;</w:t>
            </w:r>
          </w:p>
        </w:tc>
      </w:tr>
      <w:tr w:rsidR="00B47A2A" w:rsidRPr="00B47A2A" w:rsidTr="007A04CD">
        <w:tc>
          <w:tcPr>
            <w:tcW w:w="1276" w:type="dxa"/>
            <w:shd w:val="clear" w:color="auto" w:fill="auto"/>
          </w:tcPr>
          <w:p w:rsidR="00B47A2A" w:rsidRPr="00B47A2A" w:rsidRDefault="00B47A2A" w:rsidP="007A04CD">
            <w:pPr>
              <w:jc w:val="center"/>
              <w:outlineLvl w:val="8"/>
              <w:rPr>
                <w:rFonts w:eastAsia="Calibri"/>
                <w:snapToGrid/>
                <w:sz w:val="20"/>
              </w:rPr>
            </w:pPr>
            <w:r>
              <w:rPr>
                <w:snapToGrid/>
                <w:sz w:val="20"/>
              </w:rPr>
              <w:t>…</w:t>
            </w:r>
          </w:p>
        </w:tc>
        <w:tc>
          <w:tcPr>
            <w:tcW w:w="2835" w:type="dxa"/>
            <w:shd w:val="clear" w:color="auto" w:fill="auto"/>
          </w:tcPr>
          <w:p w:rsidR="00B47A2A" w:rsidRPr="00B47A2A" w:rsidRDefault="00B47A2A" w:rsidP="007A04CD">
            <w:pPr>
              <w:jc w:val="center"/>
              <w:outlineLvl w:val="8"/>
              <w:rPr>
                <w:rFonts w:eastAsia="Calibri"/>
                <w:snapToGrid/>
                <w:sz w:val="20"/>
                <w:highlight w:val="lightGray"/>
              </w:rPr>
            </w:pPr>
            <w:r w:rsidRPr="00BF38B4">
              <w:rPr>
                <w:snapToGrid/>
                <w:sz w:val="20"/>
              </w:rPr>
              <w:t>…</w:t>
            </w:r>
          </w:p>
        </w:tc>
        <w:tc>
          <w:tcPr>
            <w:tcW w:w="1701" w:type="dxa"/>
            <w:shd w:val="clear" w:color="auto" w:fill="auto"/>
          </w:tcPr>
          <w:p w:rsidR="00B47A2A" w:rsidRPr="00B47A2A" w:rsidRDefault="00B47A2A" w:rsidP="007A04CD">
            <w:pPr>
              <w:jc w:val="center"/>
              <w:outlineLvl w:val="8"/>
              <w:rPr>
                <w:rFonts w:eastAsia="Calibri"/>
                <w:snapToGrid/>
                <w:sz w:val="20"/>
                <w:highlight w:val="lightGray"/>
              </w:rPr>
            </w:pPr>
            <w:r w:rsidRPr="00BF38B4">
              <w:rPr>
                <w:snapToGrid/>
                <w:sz w:val="20"/>
              </w:rPr>
              <w:t>…</w:t>
            </w:r>
          </w:p>
        </w:tc>
        <w:tc>
          <w:tcPr>
            <w:tcW w:w="992" w:type="dxa"/>
            <w:shd w:val="clear" w:color="auto" w:fill="auto"/>
          </w:tcPr>
          <w:p w:rsidR="00B47A2A" w:rsidRPr="00B47A2A" w:rsidRDefault="00B47A2A" w:rsidP="007A04CD">
            <w:pPr>
              <w:jc w:val="center"/>
              <w:outlineLvl w:val="8"/>
              <w:rPr>
                <w:rFonts w:eastAsia="Calibri"/>
                <w:snapToGrid/>
                <w:sz w:val="20"/>
                <w:highlight w:val="lightGray"/>
              </w:rPr>
            </w:pPr>
          </w:p>
        </w:tc>
        <w:tc>
          <w:tcPr>
            <w:tcW w:w="993" w:type="dxa"/>
            <w:shd w:val="clear" w:color="auto" w:fill="auto"/>
          </w:tcPr>
          <w:p w:rsidR="00B47A2A" w:rsidRPr="00B47A2A" w:rsidRDefault="00B47A2A" w:rsidP="007A04CD">
            <w:pPr>
              <w:jc w:val="center"/>
              <w:outlineLvl w:val="8"/>
              <w:rPr>
                <w:rFonts w:eastAsia="Calibri"/>
                <w:snapToGrid/>
                <w:sz w:val="20"/>
                <w:highlight w:val="lightGray"/>
              </w:rPr>
            </w:pPr>
          </w:p>
        </w:tc>
      </w:tr>
      <w:tr w:rsidR="00B47A2A" w:rsidRPr="00B47A2A" w:rsidTr="007A04CD">
        <w:tc>
          <w:tcPr>
            <w:tcW w:w="1276" w:type="dxa"/>
            <w:shd w:val="clear" w:color="auto" w:fill="auto"/>
          </w:tcPr>
          <w:p w:rsidR="00B47A2A" w:rsidRPr="00B47A2A" w:rsidRDefault="00B47A2A" w:rsidP="007A04CD">
            <w:pPr>
              <w:jc w:val="center"/>
              <w:outlineLvl w:val="8"/>
              <w:rPr>
                <w:rFonts w:eastAsia="Calibri"/>
                <w:snapToGrid/>
                <w:sz w:val="20"/>
              </w:rPr>
            </w:pPr>
            <w:r>
              <w:rPr>
                <w:snapToGrid/>
                <w:sz w:val="20"/>
              </w:rPr>
              <w:t>&lt;</w:t>
            </w:r>
            <w:r w:rsidRPr="00BF38B4">
              <w:rPr>
                <w:snapToGrid/>
                <w:sz w:val="20"/>
                <w:highlight w:val="yellow"/>
              </w:rPr>
              <w:t>Material i</w:t>
            </w:r>
            <w:r>
              <w:rPr>
                <w:snapToGrid/>
                <w:sz w:val="20"/>
              </w:rPr>
              <w:t>&gt;</w:t>
            </w:r>
          </w:p>
        </w:tc>
        <w:tc>
          <w:tcPr>
            <w:tcW w:w="2835" w:type="dxa"/>
            <w:shd w:val="clear" w:color="auto" w:fill="auto"/>
          </w:tcPr>
          <w:p w:rsidR="00B47A2A" w:rsidRPr="00B47A2A" w:rsidRDefault="00B47A2A" w:rsidP="007A04CD">
            <w:pPr>
              <w:jc w:val="center"/>
              <w:outlineLvl w:val="8"/>
              <w:rPr>
                <w:rFonts w:eastAsia="Calibri"/>
                <w:snapToGrid/>
                <w:sz w:val="20"/>
                <w:highlight w:val="lightGray"/>
              </w:rPr>
            </w:pPr>
            <w:r w:rsidRPr="00BF38B4">
              <w:rPr>
                <w:snapToGrid/>
                <w:sz w:val="20"/>
                <w:highlight w:val="yellow"/>
              </w:rPr>
              <w:t xml:space="preserve">&lt;Especifíquese el precio oficial de suministro o el índice correspondiente y </w:t>
            </w:r>
            <w:r w:rsidRPr="00BF38B4">
              <w:rPr>
                <w:snapToGrid/>
                <w:sz w:val="20"/>
                <w:highlight w:val="yellow"/>
              </w:rPr>
              <w:lastRenderedPageBreak/>
              <w:t>la fuente de publicación&gt;</w:t>
            </w:r>
          </w:p>
        </w:tc>
        <w:tc>
          <w:tcPr>
            <w:tcW w:w="1701" w:type="dxa"/>
            <w:shd w:val="clear" w:color="auto" w:fill="auto"/>
          </w:tcPr>
          <w:p w:rsidR="00B47A2A" w:rsidRPr="00B47A2A" w:rsidRDefault="00B47A2A" w:rsidP="007A04CD">
            <w:pPr>
              <w:jc w:val="center"/>
              <w:outlineLvl w:val="8"/>
              <w:rPr>
                <w:rFonts w:eastAsia="Calibri"/>
                <w:snapToGrid/>
                <w:sz w:val="20"/>
                <w:highlight w:val="lightGray"/>
              </w:rPr>
            </w:pPr>
            <w:r w:rsidRPr="00BF38B4">
              <w:rPr>
                <w:snapToGrid/>
                <w:sz w:val="20"/>
                <w:highlight w:val="yellow"/>
              </w:rPr>
              <w:lastRenderedPageBreak/>
              <w:t xml:space="preserve">&lt;moneda del </w:t>
            </w:r>
            <w:r w:rsidR="00B42C3E">
              <w:rPr>
                <w:snapToGrid/>
                <w:sz w:val="20"/>
                <w:highlight w:val="yellow"/>
              </w:rPr>
              <w:t>contrato</w:t>
            </w:r>
            <w:r w:rsidRPr="00BF38B4">
              <w:rPr>
                <w:snapToGrid/>
                <w:sz w:val="20"/>
                <w:highlight w:val="yellow"/>
              </w:rPr>
              <w:t xml:space="preserve"> / otra moneda&gt;</w:t>
            </w:r>
          </w:p>
        </w:tc>
        <w:tc>
          <w:tcPr>
            <w:tcW w:w="992" w:type="dxa"/>
            <w:shd w:val="clear" w:color="auto" w:fill="auto"/>
          </w:tcPr>
          <w:p w:rsidR="00B47A2A" w:rsidRPr="00B47A2A" w:rsidRDefault="00B47A2A" w:rsidP="007A04CD">
            <w:pPr>
              <w:jc w:val="center"/>
              <w:outlineLvl w:val="8"/>
              <w:rPr>
                <w:rFonts w:eastAsia="Calibri"/>
                <w:snapToGrid/>
                <w:sz w:val="20"/>
                <w:highlight w:val="lightGray"/>
              </w:rPr>
            </w:pPr>
            <w:r w:rsidRPr="00BF38B4">
              <w:rPr>
                <w:snapToGrid/>
                <w:sz w:val="20"/>
                <w:highlight w:val="yellow"/>
              </w:rPr>
              <w:t xml:space="preserve">&lt;Especifíquese </w:t>
            </w:r>
            <w:r w:rsidRPr="00BF38B4">
              <w:rPr>
                <w:noProof/>
                <w:snapToGrid/>
                <w:sz w:val="22"/>
                <w:highlight w:val="yellow"/>
              </w:rPr>
              <w:t>Mat</w:t>
            </w:r>
            <w:r w:rsidRPr="00BF38B4">
              <w:rPr>
                <w:noProof/>
                <w:snapToGrid/>
                <w:sz w:val="22"/>
                <w:highlight w:val="yellow"/>
                <w:vertAlign w:val="subscript"/>
              </w:rPr>
              <w:t>0</w:t>
            </w:r>
            <w:r w:rsidRPr="00BF38B4">
              <w:rPr>
                <w:noProof/>
                <w:snapToGrid/>
                <w:sz w:val="22"/>
                <w:highlight w:val="yellow"/>
              </w:rPr>
              <w:t>&gt;</w:t>
            </w:r>
          </w:p>
        </w:tc>
        <w:tc>
          <w:tcPr>
            <w:tcW w:w="993" w:type="dxa"/>
            <w:shd w:val="clear" w:color="auto" w:fill="auto"/>
          </w:tcPr>
          <w:p w:rsidR="00B47A2A" w:rsidRPr="00B47A2A" w:rsidRDefault="00B47A2A" w:rsidP="007A04CD">
            <w:pPr>
              <w:jc w:val="center"/>
              <w:outlineLvl w:val="8"/>
              <w:rPr>
                <w:rFonts w:eastAsia="Calibri"/>
                <w:snapToGrid/>
                <w:sz w:val="20"/>
                <w:highlight w:val="lightGray"/>
              </w:rPr>
            </w:pPr>
            <w:r w:rsidRPr="00BF38B4">
              <w:rPr>
                <w:snapToGrid/>
                <w:sz w:val="20"/>
                <w:highlight w:val="yellow"/>
              </w:rPr>
              <w:t xml:space="preserve">&lt;Especifíquese </w:t>
            </w:r>
            <w:r w:rsidRPr="00BF38B4">
              <w:rPr>
                <w:noProof/>
                <w:snapToGrid/>
                <w:sz w:val="22"/>
                <w:highlight w:val="yellow"/>
              </w:rPr>
              <w:t>Tx</w:t>
            </w:r>
            <w:r w:rsidRPr="00BF38B4">
              <w:rPr>
                <w:noProof/>
                <w:snapToGrid/>
                <w:sz w:val="22"/>
                <w:highlight w:val="yellow"/>
                <w:vertAlign w:val="subscript"/>
              </w:rPr>
              <w:t xml:space="preserve">0 </w:t>
            </w:r>
            <w:r w:rsidRPr="00BF38B4">
              <w:rPr>
                <w:snapToGrid/>
                <w:sz w:val="20"/>
                <w:highlight w:val="yellow"/>
              </w:rPr>
              <w:t>&gt;</w:t>
            </w:r>
          </w:p>
        </w:tc>
      </w:tr>
    </w:tbl>
    <w:p w:rsidR="00091417" w:rsidRPr="00091417" w:rsidRDefault="00091417" w:rsidP="00E5391D">
      <w:pPr>
        <w:keepNext/>
        <w:keepLines/>
        <w:spacing w:before="240" w:after="120"/>
        <w:ind w:left="1701"/>
        <w:outlineLvl w:val="8"/>
        <w:rPr>
          <w:rFonts w:eastAsia="Calibri"/>
          <w:snapToGrid/>
          <w:sz w:val="22"/>
          <w:szCs w:val="22"/>
        </w:rPr>
      </w:pPr>
      <w:r>
        <w:rPr>
          <w:snapToGrid/>
          <w:sz w:val="22"/>
          <w:highlight w:val="yellow"/>
        </w:rPr>
        <w:t>Ejemplo:</w:t>
      </w:r>
    </w:p>
    <w:tbl>
      <w:tblPr>
        <w:tblW w:w="7797"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2835"/>
        <w:gridCol w:w="1418"/>
        <w:gridCol w:w="1275"/>
        <w:gridCol w:w="993"/>
      </w:tblGrid>
      <w:tr w:rsidR="00091417" w:rsidRPr="00091417" w:rsidTr="007A04CD">
        <w:tc>
          <w:tcPr>
            <w:tcW w:w="1276" w:type="dxa"/>
            <w:shd w:val="clear" w:color="auto" w:fill="FFFF00"/>
          </w:tcPr>
          <w:p w:rsidR="00091417" w:rsidRPr="00091417" w:rsidRDefault="00091417" w:rsidP="00E5391D">
            <w:pPr>
              <w:keepNext/>
              <w:keepLines/>
              <w:jc w:val="center"/>
              <w:outlineLvl w:val="8"/>
              <w:rPr>
                <w:rFonts w:eastAsia="Calibri"/>
                <w:b/>
                <w:snapToGrid/>
                <w:sz w:val="20"/>
                <w:highlight w:val="yellow"/>
              </w:rPr>
            </w:pPr>
            <w:r>
              <w:rPr>
                <w:b/>
                <w:snapToGrid/>
                <w:sz w:val="20"/>
                <w:highlight w:val="yellow"/>
              </w:rPr>
              <w:t>Insumos</w:t>
            </w:r>
          </w:p>
        </w:tc>
        <w:tc>
          <w:tcPr>
            <w:tcW w:w="2835" w:type="dxa"/>
            <w:shd w:val="clear" w:color="auto" w:fill="FFFF00"/>
          </w:tcPr>
          <w:p w:rsidR="00091417" w:rsidRPr="00091417" w:rsidRDefault="00091417" w:rsidP="00E5391D">
            <w:pPr>
              <w:keepNext/>
              <w:keepLines/>
              <w:jc w:val="center"/>
              <w:outlineLvl w:val="8"/>
              <w:rPr>
                <w:rFonts w:eastAsia="Calibri"/>
                <w:b/>
                <w:snapToGrid/>
                <w:sz w:val="20"/>
                <w:highlight w:val="yellow"/>
              </w:rPr>
            </w:pPr>
            <w:r>
              <w:rPr>
                <w:b/>
                <w:snapToGrid/>
                <w:sz w:val="20"/>
                <w:highlight w:val="yellow"/>
              </w:rPr>
              <w:t xml:space="preserve">Mat </w:t>
            </w:r>
          </w:p>
          <w:p w:rsidR="00091417" w:rsidRPr="00091417" w:rsidRDefault="00091417" w:rsidP="00E5391D">
            <w:pPr>
              <w:keepNext/>
              <w:keepLines/>
              <w:jc w:val="center"/>
              <w:outlineLvl w:val="8"/>
              <w:rPr>
                <w:rFonts w:eastAsia="Calibri"/>
                <w:b/>
                <w:snapToGrid/>
                <w:sz w:val="20"/>
                <w:highlight w:val="yellow"/>
              </w:rPr>
            </w:pPr>
            <w:r>
              <w:rPr>
                <w:b/>
                <w:snapToGrid/>
                <w:sz w:val="20"/>
                <w:highlight w:val="yellow"/>
              </w:rPr>
              <w:t xml:space="preserve">(precio de suministro oficial o </w:t>
            </w:r>
          </w:p>
          <w:p w:rsidR="00091417" w:rsidRPr="00091417" w:rsidRDefault="00091417" w:rsidP="00E5391D">
            <w:pPr>
              <w:keepNext/>
              <w:keepLines/>
              <w:jc w:val="center"/>
              <w:outlineLvl w:val="8"/>
              <w:rPr>
                <w:rFonts w:eastAsia="Calibri"/>
                <w:b/>
                <w:snapToGrid/>
                <w:sz w:val="20"/>
                <w:highlight w:val="yellow"/>
              </w:rPr>
            </w:pPr>
            <w:r>
              <w:rPr>
                <w:b/>
                <w:snapToGrid/>
                <w:sz w:val="20"/>
                <w:highlight w:val="yellow"/>
              </w:rPr>
              <w:t>índice correspondiente)</w:t>
            </w:r>
          </w:p>
        </w:tc>
        <w:tc>
          <w:tcPr>
            <w:tcW w:w="1418" w:type="dxa"/>
            <w:shd w:val="clear" w:color="auto" w:fill="FFFF00"/>
          </w:tcPr>
          <w:p w:rsidR="00091417" w:rsidRPr="00091417" w:rsidRDefault="00091417" w:rsidP="00E5391D">
            <w:pPr>
              <w:keepNext/>
              <w:keepLines/>
              <w:jc w:val="center"/>
              <w:outlineLvl w:val="8"/>
              <w:rPr>
                <w:rFonts w:eastAsia="Calibri"/>
                <w:b/>
                <w:snapToGrid/>
                <w:sz w:val="20"/>
                <w:highlight w:val="yellow"/>
              </w:rPr>
            </w:pPr>
            <w:r>
              <w:rPr>
                <w:b/>
                <w:snapToGrid/>
                <w:sz w:val="20"/>
                <w:highlight w:val="yellow"/>
              </w:rPr>
              <w:t>Moneda del Mat</w:t>
            </w:r>
          </w:p>
        </w:tc>
        <w:tc>
          <w:tcPr>
            <w:tcW w:w="1275" w:type="dxa"/>
            <w:shd w:val="clear" w:color="auto" w:fill="FFFF00"/>
          </w:tcPr>
          <w:p w:rsidR="00091417" w:rsidRPr="00091417" w:rsidRDefault="00091417" w:rsidP="00E5391D">
            <w:pPr>
              <w:keepNext/>
              <w:keepLines/>
              <w:jc w:val="center"/>
              <w:outlineLvl w:val="8"/>
              <w:rPr>
                <w:rFonts w:eastAsia="Calibri"/>
                <w:b/>
                <w:snapToGrid/>
                <w:sz w:val="20"/>
                <w:highlight w:val="yellow"/>
              </w:rPr>
            </w:pPr>
            <w:r>
              <w:rPr>
                <w:b/>
                <w:noProof/>
                <w:snapToGrid/>
                <w:sz w:val="20"/>
                <w:highlight w:val="yellow"/>
              </w:rPr>
              <w:t>Mat</w:t>
            </w:r>
            <w:r>
              <w:rPr>
                <w:b/>
                <w:noProof/>
                <w:snapToGrid/>
                <w:sz w:val="20"/>
                <w:highlight w:val="yellow"/>
                <w:vertAlign w:val="subscript"/>
              </w:rPr>
              <w:t>0</w:t>
            </w:r>
          </w:p>
        </w:tc>
        <w:tc>
          <w:tcPr>
            <w:tcW w:w="993" w:type="dxa"/>
            <w:shd w:val="clear" w:color="auto" w:fill="FFFF00"/>
          </w:tcPr>
          <w:p w:rsidR="00091417" w:rsidRPr="00091417" w:rsidRDefault="00091417" w:rsidP="00E5391D">
            <w:pPr>
              <w:keepNext/>
              <w:keepLines/>
              <w:jc w:val="center"/>
              <w:outlineLvl w:val="8"/>
              <w:rPr>
                <w:rFonts w:eastAsia="Calibri"/>
                <w:b/>
                <w:snapToGrid/>
                <w:sz w:val="20"/>
                <w:highlight w:val="yellow"/>
              </w:rPr>
            </w:pPr>
            <w:r>
              <w:rPr>
                <w:b/>
                <w:noProof/>
                <w:snapToGrid/>
                <w:sz w:val="20"/>
                <w:highlight w:val="yellow"/>
              </w:rPr>
              <w:t>Tx</w:t>
            </w:r>
            <w:r>
              <w:rPr>
                <w:b/>
                <w:noProof/>
                <w:snapToGrid/>
                <w:sz w:val="20"/>
                <w:highlight w:val="yellow"/>
                <w:vertAlign w:val="subscript"/>
              </w:rPr>
              <w:t>0</w:t>
            </w:r>
          </w:p>
        </w:tc>
      </w:tr>
      <w:tr w:rsidR="00091417" w:rsidRPr="00091417" w:rsidTr="007A04CD">
        <w:tc>
          <w:tcPr>
            <w:tcW w:w="1276" w:type="dxa"/>
            <w:shd w:val="clear" w:color="auto" w:fill="FFFF00"/>
          </w:tcPr>
          <w:p w:rsidR="00091417" w:rsidRPr="00091417" w:rsidRDefault="00091417" w:rsidP="00E5391D">
            <w:pPr>
              <w:keepNext/>
              <w:keepLines/>
              <w:jc w:val="center"/>
              <w:outlineLvl w:val="8"/>
              <w:rPr>
                <w:rFonts w:eastAsia="Calibri"/>
                <w:snapToGrid/>
                <w:sz w:val="20"/>
                <w:highlight w:val="yellow"/>
              </w:rPr>
            </w:pPr>
            <w:r>
              <w:rPr>
                <w:snapToGrid/>
                <w:sz w:val="20"/>
                <w:highlight w:val="yellow"/>
              </w:rPr>
              <w:t>Cemento</w:t>
            </w:r>
          </w:p>
        </w:tc>
        <w:tc>
          <w:tcPr>
            <w:tcW w:w="2835" w:type="dxa"/>
            <w:shd w:val="clear" w:color="auto" w:fill="FFFF00"/>
          </w:tcPr>
          <w:p w:rsidR="00091417" w:rsidRPr="00091417" w:rsidRDefault="00091417" w:rsidP="00E5391D">
            <w:pPr>
              <w:keepNext/>
              <w:keepLines/>
              <w:jc w:val="center"/>
              <w:outlineLvl w:val="8"/>
              <w:rPr>
                <w:rFonts w:eastAsia="Calibri"/>
                <w:snapToGrid/>
                <w:sz w:val="20"/>
                <w:highlight w:val="yellow"/>
              </w:rPr>
            </w:pPr>
            <w:r>
              <w:rPr>
                <w:snapToGrid/>
                <w:sz w:val="20"/>
                <w:highlight w:val="yellow"/>
              </w:rPr>
              <w:t>Precios oficiales en el país Y de una tonelada de cemento publicados en X</w:t>
            </w:r>
          </w:p>
        </w:tc>
        <w:tc>
          <w:tcPr>
            <w:tcW w:w="1418" w:type="dxa"/>
            <w:shd w:val="clear" w:color="auto" w:fill="FFFF00"/>
          </w:tcPr>
          <w:p w:rsidR="00091417" w:rsidRPr="00091417" w:rsidRDefault="00091417" w:rsidP="00E5391D">
            <w:pPr>
              <w:keepNext/>
              <w:keepLines/>
              <w:jc w:val="center"/>
              <w:outlineLvl w:val="8"/>
              <w:rPr>
                <w:rFonts w:eastAsia="Calibri"/>
                <w:snapToGrid/>
                <w:sz w:val="20"/>
                <w:highlight w:val="yellow"/>
              </w:rPr>
            </w:pPr>
            <w:r>
              <w:rPr>
                <w:snapToGrid/>
                <w:sz w:val="20"/>
                <w:highlight w:val="yellow"/>
              </w:rPr>
              <w:t>XOF</w:t>
            </w:r>
          </w:p>
        </w:tc>
        <w:tc>
          <w:tcPr>
            <w:tcW w:w="1275" w:type="dxa"/>
            <w:shd w:val="clear" w:color="auto" w:fill="FFFF00"/>
          </w:tcPr>
          <w:p w:rsidR="00091417" w:rsidRPr="00091417" w:rsidRDefault="00091417" w:rsidP="00E5391D">
            <w:pPr>
              <w:keepNext/>
              <w:keepLines/>
              <w:jc w:val="center"/>
              <w:outlineLvl w:val="8"/>
              <w:rPr>
                <w:rFonts w:eastAsia="Calibri"/>
                <w:snapToGrid/>
                <w:sz w:val="20"/>
                <w:highlight w:val="yellow"/>
              </w:rPr>
            </w:pPr>
            <w:r>
              <w:rPr>
                <w:snapToGrid/>
                <w:sz w:val="20"/>
                <w:highlight w:val="yellow"/>
              </w:rPr>
              <w:t>150 000 XOF</w:t>
            </w:r>
          </w:p>
        </w:tc>
        <w:tc>
          <w:tcPr>
            <w:tcW w:w="993" w:type="dxa"/>
            <w:shd w:val="clear" w:color="auto" w:fill="FFFF00"/>
          </w:tcPr>
          <w:p w:rsidR="00091417" w:rsidRPr="00091417" w:rsidRDefault="00091417" w:rsidP="00E5391D">
            <w:pPr>
              <w:keepNext/>
              <w:keepLines/>
              <w:jc w:val="center"/>
              <w:outlineLvl w:val="8"/>
              <w:rPr>
                <w:rFonts w:eastAsia="Calibri"/>
                <w:snapToGrid/>
                <w:sz w:val="20"/>
                <w:highlight w:val="yellow"/>
              </w:rPr>
            </w:pPr>
            <w:r>
              <w:rPr>
                <w:snapToGrid/>
                <w:sz w:val="20"/>
                <w:highlight w:val="yellow"/>
              </w:rPr>
              <w:t xml:space="preserve">&lt;Especifíquese </w:t>
            </w:r>
            <w:r>
              <w:rPr>
                <w:noProof/>
                <w:snapToGrid/>
                <w:sz w:val="22"/>
                <w:highlight w:val="yellow"/>
              </w:rPr>
              <w:t>Tx</w:t>
            </w:r>
            <w:r>
              <w:rPr>
                <w:noProof/>
                <w:snapToGrid/>
                <w:sz w:val="22"/>
                <w:highlight w:val="yellow"/>
                <w:vertAlign w:val="subscript"/>
              </w:rPr>
              <w:t xml:space="preserve">0 </w:t>
            </w:r>
            <w:r>
              <w:rPr>
                <w:snapToGrid/>
                <w:sz w:val="20"/>
                <w:highlight w:val="yellow"/>
              </w:rPr>
              <w:t>&gt;</w:t>
            </w:r>
          </w:p>
        </w:tc>
      </w:tr>
      <w:tr w:rsidR="00091417" w:rsidRPr="00091417" w:rsidTr="007A04CD">
        <w:tc>
          <w:tcPr>
            <w:tcW w:w="1276" w:type="dxa"/>
            <w:shd w:val="clear" w:color="auto" w:fill="FFFF00"/>
          </w:tcPr>
          <w:p w:rsidR="00091417" w:rsidRPr="00091417" w:rsidRDefault="00091417" w:rsidP="00E5391D">
            <w:pPr>
              <w:keepNext/>
              <w:keepLines/>
              <w:jc w:val="center"/>
              <w:outlineLvl w:val="8"/>
              <w:rPr>
                <w:rFonts w:eastAsia="Calibri"/>
                <w:snapToGrid/>
                <w:sz w:val="20"/>
                <w:highlight w:val="yellow"/>
              </w:rPr>
            </w:pPr>
            <w:r>
              <w:rPr>
                <w:snapToGrid/>
                <w:sz w:val="20"/>
                <w:highlight w:val="yellow"/>
              </w:rPr>
              <w:t>Acero</w:t>
            </w:r>
          </w:p>
        </w:tc>
        <w:tc>
          <w:tcPr>
            <w:tcW w:w="2835" w:type="dxa"/>
            <w:shd w:val="clear" w:color="auto" w:fill="FFFF00"/>
          </w:tcPr>
          <w:p w:rsidR="00091417" w:rsidRPr="00091417" w:rsidRDefault="00091417" w:rsidP="00E5391D">
            <w:pPr>
              <w:keepNext/>
              <w:keepLines/>
              <w:jc w:val="center"/>
              <w:outlineLvl w:val="8"/>
              <w:rPr>
                <w:rFonts w:eastAsia="Calibri"/>
                <w:snapToGrid/>
                <w:sz w:val="20"/>
                <w:highlight w:val="yellow"/>
              </w:rPr>
            </w:pPr>
            <w:r>
              <w:rPr>
                <w:snapToGrid/>
                <w:sz w:val="20"/>
                <w:highlight w:val="yellow"/>
              </w:rPr>
              <w:t>Índice del acero en el país W</w:t>
            </w:r>
          </w:p>
          <w:p w:rsidR="00091417" w:rsidRPr="00091417" w:rsidRDefault="00091417" w:rsidP="00E5391D">
            <w:pPr>
              <w:keepNext/>
              <w:keepLines/>
              <w:jc w:val="center"/>
              <w:outlineLvl w:val="8"/>
              <w:rPr>
                <w:rFonts w:eastAsia="Calibri"/>
                <w:snapToGrid/>
                <w:sz w:val="20"/>
                <w:highlight w:val="yellow"/>
              </w:rPr>
            </w:pPr>
            <w:r>
              <w:rPr>
                <w:snapToGrid/>
                <w:sz w:val="20"/>
                <w:highlight w:val="yellow"/>
              </w:rPr>
              <w:t>publicado en Z</w:t>
            </w:r>
          </w:p>
        </w:tc>
        <w:tc>
          <w:tcPr>
            <w:tcW w:w="1418" w:type="dxa"/>
            <w:shd w:val="clear" w:color="auto" w:fill="FFFF00"/>
          </w:tcPr>
          <w:p w:rsidR="00091417" w:rsidRPr="00091417" w:rsidRDefault="00091417" w:rsidP="00E5391D">
            <w:pPr>
              <w:keepNext/>
              <w:keepLines/>
              <w:jc w:val="center"/>
              <w:outlineLvl w:val="8"/>
              <w:rPr>
                <w:rFonts w:eastAsia="Calibri"/>
                <w:snapToGrid/>
                <w:sz w:val="20"/>
                <w:highlight w:val="yellow"/>
              </w:rPr>
            </w:pPr>
            <w:r>
              <w:rPr>
                <w:snapToGrid/>
                <w:sz w:val="20"/>
                <w:highlight w:val="yellow"/>
              </w:rPr>
              <w:t>Moneda W</w:t>
            </w:r>
          </w:p>
        </w:tc>
        <w:tc>
          <w:tcPr>
            <w:tcW w:w="1275" w:type="dxa"/>
            <w:shd w:val="clear" w:color="auto" w:fill="FFFF00"/>
          </w:tcPr>
          <w:p w:rsidR="00091417" w:rsidRPr="00091417" w:rsidRDefault="00091417" w:rsidP="00E5391D">
            <w:pPr>
              <w:keepNext/>
              <w:keepLines/>
              <w:jc w:val="center"/>
              <w:outlineLvl w:val="8"/>
              <w:rPr>
                <w:rFonts w:eastAsia="Calibri"/>
                <w:snapToGrid/>
                <w:sz w:val="20"/>
                <w:highlight w:val="yellow"/>
              </w:rPr>
            </w:pPr>
            <w:r>
              <w:rPr>
                <w:snapToGrid/>
                <w:sz w:val="20"/>
                <w:highlight w:val="yellow"/>
              </w:rPr>
              <w:t xml:space="preserve">&lt;Especifíquese </w:t>
            </w:r>
            <w:r>
              <w:rPr>
                <w:noProof/>
                <w:snapToGrid/>
                <w:sz w:val="22"/>
                <w:highlight w:val="yellow"/>
              </w:rPr>
              <w:t>Mat</w:t>
            </w:r>
            <w:r>
              <w:rPr>
                <w:noProof/>
                <w:snapToGrid/>
                <w:sz w:val="22"/>
                <w:highlight w:val="yellow"/>
                <w:vertAlign w:val="subscript"/>
              </w:rPr>
              <w:t>0</w:t>
            </w:r>
            <w:r>
              <w:rPr>
                <w:noProof/>
                <w:snapToGrid/>
                <w:sz w:val="22"/>
                <w:highlight w:val="yellow"/>
              </w:rPr>
              <w:t>&gt;</w:t>
            </w:r>
          </w:p>
        </w:tc>
        <w:tc>
          <w:tcPr>
            <w:tcW w:w="993" w:type="dxa"/>
            <w:shd w:val="clear" w:color="auto" w:fill="FFFF00"/>
          </w:tcPr>
          <w:p w:rsidR="00091417" w:rsidRPr="00091417" w:rsidRDefault="00091417" w:rsidP="00E5391D">
            <w:pPr>
              <w:keepNext/>
              <w:keepLines/>
              <w:jc w:val="center"/>
              <w:outlineLvl w:val="8"/>
              <w:rPr>
                <w:rFonts w:eastAsia="Calibri"/>
                <w:snapToGrid/>
                <w:sz w:val="20"/>
                <w:highlight w:val="yellow"/>
              </w:rPr>
            </w:pPr>
            <w:r>
              <w:rPr>
                <w:snapToGrid/>
                <w:sz w:val="20"/>
                <w:highlight w:val="yellow"/>
              </w:rPr>
              <w:t xml:space="preserve">&lt;Especifíquese </w:t>
            </w:r>
            <w:r>
              <w:rPr>
                <w:noProof/>
                <w:snapToGrid/>
                <w:sz w:val="22"/>
                <w:highlight w:val="yellow"/>
              </w:rPr>
              <w:t>Tx</w:t>
            </w:r>
            <w:r>
              <w:rPr>
                <w:noProof/>
                <w:snapToGrid/>
                <w:sz w:val="22"/>
                <w:highlight w:val="yellow"/>
                <w:vertAlign w:val="subscript"/>
              </w:rPr>
              <w:t xml:space="preserve">0 </w:t>
            </w:r>
            <w:r>
              <w:rPr>
                <w:snapToGrid/>
                <w:sz w:val="20"/>
                <w:highlight w:val="yellow"/>
              </w:rPr>
              <w:t>&gt;</w:t>
            </w:r>
          </w:p>
        </w:tc>
      </w:tr>
      <w:tr w:rsidR="00091417" w:rsidRPr="00091417" w:rsidTr="007A04CD">
        <w:tc>
          <w:tcPr>
            <w:tcW w:w="1276" w:type="dxa"/>
            <w:shd w:val="clear" w:color="auto" w:fill="auto"/>
          </w:tcPr>
          <w:p w:rsidR="00091417" w:rsidRPr="00091417" w:rsidRDefault="00091417" w:rsidP="00E5391D">
            <w:pPr>
              <w:keepNext/>
              <w:keepLines/>
              <w:jc w:val="center"/>
              <w:outlineLvl w:val="8"/>
              <w:rPr>
                <w:rFonts w:eastAsia="Calibri"/>
                <w:snapToGrid/>
                <w:sz w:val="20"/>
                <w:highlight w:val="yellow"/>
              </w:rPr>
            </w:pPr>
            <w:r>
              <w:rPr>
                <w:snapToGrid/>
                <w:sz w:val="20"/>
                <w:highlight w:val="yellow"/>
              </w:rPr>
              <w:t>…</w:t>
            </w:r>
          </w:p>
        </w:tc>
        <w:tc>
          <w:tcPr>
            <w:tcW w:w="2835" w:type="dxa"/>
            <w:shd w:val="clear" w:color="auto" w:fill="auto"/>
          </w:tcPr>
          <w:p w:rsidR="00091417" w:rsidRPr="00091417" w:rsidRDefault="00091417" w:rsidP="00E5391D">
            <w:pPr>
              <w:keepNext/>
              <w:keepLines/>
              <w:jc w:val="center"/>
              <w:outlineLvl w:val="8"/>
              <w:rPr>
                <w:rFonts w:eastAsia="Calibri"/>
                <w:snapToGrid/>
                <w:sz w:val="20"/>
                <w:highlight w:val="yellow"/>
              </w:rPr>
            </w:pPr>
            <w:r>
              <w:rPr>
                <w:snapToGrid/>
                <w:sz w:val="20"/>
                <w:highlight w:val="yellow"/>
              </w:rPr>
              <w:t>…</w:t>
            </w:r>
          </w:p>
        </w:tc>
        <w:tc>
          <w:tcPr>
            <w:tcW w:w="1418" w:type="dxa"/>
            <w:shd w:val="clear" w:color="auto" w:fill="auto"/>
          </w:tcPr>
          <w:p w:rsidR="00091417" w:rsidRPr="00091417" w:rsidRDefault="00091417" w:rsidP="00E5391D">
            <w:pPr>
              <w:keepNext/>
              <w:keepLines/>
              <w:jc w:val="center"/>
              <w:outlineLvl w:val="8"/>
              <w:rPr>
                <w:rFonts w:eastAsia="Calibri"/>
                <w:snapToGrid/>
                <w:sz w:val="20"/>
                <w:highlight w:val="yellow"/>
              </w:rPr>
            </w:pPr>
            <w:r>
              <w:rPr>
                <w:snapToGrid/>
                <w:sz w:val="20"/>
                <w:highlight w:val="yellow"/>
              </w:rPr>
              <w:t>…</w:t>
            </w:r>
          </w:p>
        </w:tc>
        <w:tc>
          <w:tcPr>
            <w:tcW w:w="1275" w:type="dxa"/>
            <w:shd w:val="clear" w:color="auto" w:fill="auto"/>
          </w:tcPr>
          <w:p w:rsidR="00091417" w:rsidRPr="00091417" w:rsidRDefault="00091417" w:rsidP="00E5391D">
            <w:pPr>
              <w:keepNext/>
              <w:keepLines/>
              <w:jc w:val="center"/>
              <w:outlineLvl w:val="8"/>
              <w:rPr>
                <w:rFonts w:eastAsia="Calibri"/>
                <w:snapToGrid/>
                <w:sz w:val="20"/>
                <w:highlight w:val="yellow"/>
              </w:rPr>
            </w:pPr>
          </w:p>
        </w:tc>
        <w:tc>
          <w:tcPr>
            <w:tcW w:w="993" w:type="dxa"/>
            <w:shd w:val="clear" w:color="auto" w:fill="auto"/>
          </w:tcPr>
          <w:p w:rsidR="00091417" w:rsidRPr="00091417" w:rsidRDefault="00091417" w:rsidP="00E5391D">
            <w:pPr>
              <w:keepNext/>
              <w:keepLines/>
              <w:jc w:val="center"/>
              <w:outlineLvl w:val="8"/>
              <w:rPr>
                <w:rFonts w:eastAsia="Calibri"/>
                <w:snapToGrid/>
                <w:sz w:val="20"/>
                <w:highlight w:val="yellow"/>
              </w:rPr>
            </w:pPr>
          </w:p>
        </w:tc>
      </w:tr>
    </w:tbl>
    <w:p w:rsidR="00091417" w:rsidRPr="007A04CD" w:rsidRDefault="00091417" w:rsidP="00A0682C">
      <w:pPr>
        <w:numPr>
          <w:ilvl w:val="0"/>
          <w:numId w:val="10"/>
        </w:numPr>
        <w:spacing w:before="240" w:after="120"/>
        <w:ind w:left="1701" w:hanging="357"/>
        <w:jc w:val="both"/>
        <w:rPr>
          <w:sz w:val="22"/>
          <w:szCs w:val="22"/>
        </w:rPr>
      </w:pPr>
      <w:r>
        <w:rPr>
          <w:sz w:val="22"/>
        </w:rPr>
        <w:t xml:space="preserve">La revisión proporcional se aplicará al importe de cada certificado de pago </w:t>
      </w:r>
      <w:r w:rsidR="00E957EF">
        <w:rPr>
          <w:sz w:val="22"/>
        </w:rPr>
        <w:t>intermedio</w:t>
      </w:r>
      <w:r>
        <w:rPr>
          <w:sz w:val="22"/>
        </w:rPr>
        <w:t xml:space="preserve"> tras la deducción de los importes adeudados del pago de prefinanciación:</w:t>
      </w:r>
    </w:p>
    <w:p w:rsidR="00091417" w:rsidRDefault="00091417" w:rsidP="007A04CD">
      <w:pPr>
        <w:spacing w:after="120" w:line="276" w:lineRule="auto"/>
        <w:ind w:left="1701"/>
        <w:rPr>
          <w:noProof/>
        </w:rPr>
      </w:pPr>
      <w:r>
        <w:rPr>
          <w:noProof/>
          <w:position w:val="-32"/>
        </w:rPr>
        <w:object w:dxaOrig="5000" w:dyaOrig="760">
          <v:shape id="_x0000_i1030" type="#_x0000_t75" style="width:272.25pt;height:41.25pt" o:ole="">
            <v:imagedata r:id="rId16" o:title=""/>
          </v:shape>
          <o:OLEObject Type="Embed" ProgID="Equation.3" ShapeID="_x0000_i1030" DrawAspect="Content" ObjectID="_1624462750" r:id="rId17"/>
        </w:object>
      </w:r>
    </w:p>
    <w:p w:rsidR="00091417" w:rsidRPr="007A04CD" w:rsidRDefault="00091417" w:rsidP="007A04CD">
      <w:pPr>
        <w:spacing w:line="276" w:lineRule="auto"/>
        <w:ind w:left="2268" w:hanging="567"/>
        <w:rPr>
          <w:rFonts w:eastAsia="Calibri"/>
          <w:snapToGrid/>
          <w:sz w:val="22"/>
          <w:szCs w:val="22"/>
        </w:rPr>
      </w:pPr>
      <w:r>
        <w:rPr>
          <w:snapToGrid/>
          <w:sz w:val="22"/>
        </w:rPr>
        <w:t>siendo:</w:t>
      </w:r>
    </w:p>
    <w:p w:rsidR="00091417" w:rsidRPr="007A04CD" w:rsidRDefault="009879A6" w:rsidP="007A04CD">
      <w:pPr>
        <w:ind w:left="2268" w:hanging="567"/>
        <w:jc w:val="both"/>
        <w:rPr>
          <w:noProof/>
          <w:snapToGrid/>
          <w:sz w:val="22"/>
          <w:szCs w:val="22"/>
        </w:rPr>
      </w:pPr>
      <w:r>
        <w:rPr>
          <w:noProof/>
          <w:snapToGrid/>
          <w:position w:val="-12"/>
          <w:sz w:val="22"/>
          <w:szCs w:val="22"/>
        </w:rPr>
        <w:pict>
          <v:shape id="_x0000_i1031" type="#_x0000_t75" style="width:15.75pt;height:21.75pt">
            <v:imagedata r:id="rId18" o:title=""/>
          </v:shape>
        </w:pict>
      </w:r>
      <w:r w:rsidR="00401C44">
        <w:rPr>
          <w:noProof/>
          <w:snapToGrid/>
          <w:sz w:val="22"/>
        </w:rPr>
        <w:t xml:space="preserve"> =</w:t>
      </w:r>
      <w:r w:rsidR="00401C44">
        <w:tab/>
      </w:r>
      <w:r w:rsidR="00401C44">
        <w:rPr>
          <w:noProof/>
          <w:snapToGrid/>
          <w:sz w:val="22"/>
        </w:rPr>
        <w:t xml:space="preserve">Importe del certificado de pago </w:t>
      </w:r>
      <w:r w:rsidR="00BF7A44">
        <w:rPr>
          <w:noProof/>
          <w:snapToGrid/>
          <w:sz w:val="22"/>
        </w:rPr>
        <w:t>intermedio</w:t>
      </w:r>
      <w:r w:rsidR="00401C44">
        <w:rPr>
          <w:noProof/>
          <w:snapToGrid/>
          <w:sz w:val="22"/>
        </w:rPr>
        <w:t xml:space="preserve"> tras la deducción de los importes adeudados de devolución de la prefinanciación tras la revisión de precios</w:t>
      </w:r>
    </w:p>
    <w:p w:rsidR="00091417" w:rsidRPr="007A04CD" w:rsidRDefault="009879A6" w:rsidP="007A04CD">
      <w:pPr>
        <w:ind w:left="2268" w:hanging="567"/>
        <w:jc w:val="both"/>
        <w:rPr>
          <w:snapToGrid/>
          <w:sz w:val="22"/>
          <w:szCs w:val="22"/>
        </w:rPr>
      </w:pPr>
      <w:r>
        <w:rPr>
          <w:noProof/>
          <w:snapToGrid/>
          <w:position w:val="-12"/>
          <w:sz w:val="22"/>
          <w:szCs w:val="22"/>
        </w:rPr>
        <w:pict>
          <v:shape id="_x0000_i1032" type="#_x0000_t75" style="width:15.75pt;height:21.75pt">
            <v:imagedata r:id="rId19" o:title=""/>
          </v:shape>
        </w:pict>
      </w:r>
      <w:r w:rsidR="00401C44">
        <w:rPr>
          <w:noProof/>
          <w:snapToGrid/>
          <w:sz w:val="22"/>
        </w:rPr>
        <w:t xml:space="preserve"> =</w:t>
      </w:r>
      <w:r w:rsidR="00401C44">
        <w:tab/>
      </w:r>
      <w:r w:rsidR="00401C44">
        <w:rPr>
          <w:noProof/>
          <w:snapToGrid/>
          <w:sz w:val="22"/>
        </w:rPr>
        <w:t xml:space="preserve">Importe del certificado de pago </w:t>
      </w:r>
      <w:r w:rsidR="00E957EF">
        <w:rPr>
          <w:noProof/>
          <w:snapToGrid/>
          <w:sz w:val="22"/>
        </w:rPr>
        <w:t>intermedio</w:t>
      </w:r>
      <w:r w:rsidR="00401C44">
        <w:rPr>
          <w:noProof/>
          <w:snapToGrid/>
          <w:sz w:val="22"/>
        </w:rPr>
        <w:t xml:space="preserve"> tras la deducción de los importes adeudados de devolución de la prefinanciación antes de la aplicación de la revisión de precios proporcional</w:t>
      </w:r>
    </w:p>
    <w:p w:rsidR="00091417" w:rsidRPr="007A04CD" w:rsidRDefault="00091417" w:rsidP="007A04CD">
      <w:pPr>
        <w:spacing w:line="276" w:lineRule="auto"/>
        <w:ind w:left="2268" w:hanging="567"/>
        <w:outlineLvl w:val="8"/>
        <w:rPr>
          <w:rFonts w:eastAsia="Calibri"/>
          <w:snapToGrid/>
          <w:sz w:val="22"/>
          <w:szCs w:val="22"/>
        </w:rPr>
      </w:pPr>
      <w:r>
        <w:rPr>
          <w:noProof/>
          <w:snapToGrid/>
          <w:sz w:val="22"/>
        </w:rPr>
        <w:t>E</w:t>
      </w:r>
      <w:r>
        <w:rPr>
          <w:noProof/>
          <w:snapToGrid/>
          <w:sz w:val="22"/>
          <w:vertAlign w:val="subscript"/>
        </w:rPr>
        <w:t>o</w:t>
      </w:r>
      <w:r>
        <w:rPr>
          <w:noProof/>
          <w:snapToGrid/>
          <w:sz w:val="22"/>
        </w:rPr>
        <w:t>=</w:t>
      </w:r>
      <w:r>
        <w:tab/>
      </w:r>
      <w:r>
        <w:rPr>
          <w:noProof/>
          <w:snapToGrid/>
          <w:sz w:val="22"/>
        </w:rPr>
        <w:t>&lt;</w:t>
      </w:r>
      <w:r w:rsidRPr="00BF38B4">
        <w:rPr>
          <w:noProof/>
          <w:snapToGrid/>
          <w:sz w:val="22"/>
          <w:highlight w:val="yellow"/>
        </w:rPr>
        <w:t>Indíquese el precio oficial o el índice correspondiente de los costes laborales en la fecha de referencia</w:t>
      </w:r>
      <w:r>
        <w:rPr>
          <w:noProof/>
          <w:snapToGrid/>
          <w:sz w:val="22"/>
        </w:rPr>
        <w:t>&gt;</w:t>
      </w:r>
    </w:p>
    <w:p w:rsidR="00091417" w:rsidRPr="007A04CD" w:rsidRDefault="00091417" w:rsidP="007A04CD">
      <w:pPr>
        <w:spacing w:line="276" w:lineRule="auto"/>
        <w:ind w:left="2268" w:hanging="567"/>
        <w:outlineLvl w:val="8"/>
        <w:rPr>
          <w:rFonts w:eastAsia="Calibri"/>
          <w:snapToGrid/>
          <w:sz w:val="22"/>
          <w:szCs w:val="22"/>
        </w:rPr>
      </w:pPr>
      <w:r>
        <w:rPr>
          <w:noProof/>
          <w:snapToGrid/>
          <w:sz w:val="22"/>
        </w:rPr>
        <w:t>E</w:t>
      </w:r>
      <w:r>
        <w:rPr>
          <w:noProof/>
          <w:snapToGrid/>
          <w:sz w:val="22"/>
          <w:vertAlign w:val="subscript"/>
        </w:rPr>
        <w:t>n</w:t>
      </w:r>
      <w:r>
        <w:rPr>
          <w:noProof/>
          <w:snapToGrid/>
          <w:sz w:val="22"/>
        </w:rPr>
        <w:t>=</w:t>
      </w:r>
      <w:r>
        <w:tab/>
      </w:r>
      <w:r>
        <w:rPr>
          <w:noProof/>
          <w:snapToGrid/>
          <w:sz w:val="22"/>
        </w:rPr>
        <w:t>&lt;</w:t>
      </w:r>
      <w:r w:rsidRPr="00BF38B4">
        <w:rPr>
          <w:noProof/>
          <w:snapToGrid/>
          <w:sz w:val="22"/>
          <w:highlight w:val="yellow"/>
        </w:rPr>
        <w:t>Indíquese el precio oficial o el índice correspondiente de los costes laborales en el mes</w:t>
      </w:r>
      <w:r w:rsidR="005D6248">
        <w:rPr>
          <w:noProof/>
          <w:snapToGrid/>
          <w:sz w:val="22"/>
          <w:highlight w:val="yellow"/>
        </w:rPr>
        <w:t xml:space="preserve"> </w:t>
      </w:r>
      <w:r w:rsidRPr="00BF38B4">
        <w:rPr>
          <w:noProof/>
          <w:snapToGrid/>
          <w:sz w:val="22"/>
          <w:highlight w:val="yellow"/>
        </w:rPr>
        <w:t>n</w:t>
      </w:r>
      <w:r>
        <w:rPr>
          <w:noProof/>
          <w:snapToGrid/>
          <w:sz w:val="22"/>
        </w:rPr>
        <w:t>&gt;</w:t>
      </w:r>
    </w:p>
    <w:p w:rsidR="00091417" w:rsidRPr="007A04CD" w:rsidRDefault="00091417" w:rsidP="007A04CD">
      <w:pPr>
        <w:spacing w:line="276" w:lineRule="auto"/>
        <w:ind w:left="2268" w:hanging="567"/>
        <w:outlineLvl w:val="8"/>
        <w:rPr>
          <w:rFonts w:eastAsia="Calibri"/>
          <w:noProof/>
          <w:snapToGrid/>
          <w:sz w:val="22"/>
          <w:szCs w:val="22"/>
        </w:rPr>
      </w:pPr>
      <w:r>
        <w:rPr>
          <w:noProof/>
          <w:snapToGrid/>
          <w:sz w:val="22"/>
        </w:rPr>
        <w:t>Mt</w:t>
      </w:r>
      <w:r>
        <w:rPr>
          <w:noProof/>
          <w:snapToGrid/>
          <w:sz w:val="22"/>
          <w:vertAlign w:val="subscript"/>
        </w:rPr>
        <w:t>n</w:t>
      </w:r>
      <w:r>
        <w:rPr>
          <w:noProof/>
          <w:snapToGrid/>
          <w:sz w:val="22"/>
        </w:rPr>
        <w:t xml:space="preserve"> =</w:t>
      </w:r>
      <w:r>
        <w:tab/>
      </w:r>
      <w:r>
        <w:rPr>
          <w:snapToGrid/>
          <w:sz w:val="22"/>
        </w:rPr>
        <w:t xml:space="preserve"> &lt;</w:t>
      </w:r>
      <w:r w:rsidRPr="00BF38B4">
        <w:rPr>
          <w:snapToGrid/>
          <w:sz w:val="22"/>
          <w:highlight w:val="yellow"/>
        </w:rPr>
        <w:t>Indíquese el precio oficial o el índice correspondiente de suministro y mantenimiento de equipos en la fecha de referencia</w:t>
      </w:r>
      <w:r>
        <w:rPr>
          <w:snapToGrid/>
          <w:sz w:val="22"/>
        </w:rPr>
        <w:t>&gt;</w:t>
      </w:r>
    </w:p>
    <w:p w:rsidR="00091417" w:rsidRPr="007A04CD" w:rsidRDefault="00091417" w:rsidP="007A04CD">
      <w:pPr>
        <w:spacing w:line="276" w:lineRule="auto"/>
        <w:ind w:left="2268" w:hanging="567"/>
        <w:outlineLvl w:val="8"/>
        <w:rPr>
          <w:rFonts w:eastAsia="Calibri"/>
          <w:noProof/>
          <w:snapToGrid/>
          <w:sz w:val="22"/>
          <w:szCs w:val="22"/>
        </w:rPr>
      </w:pPr>
      <w:r>
        <w:rPr>
          <w:noProof/>
          <w:snapToGrid/>
          <w:sz w:val="22"/>
        </w:rPr>
        <w:t>Mt</w:t>
      </w:r>
      <w:r>
        <w:rPr>
          <w:noProof/>
          <w:snapToGrid/>
          <w:sz w:val="22"/>
          <w:vertAlign w:val="subscript"/>
        </w:rPr>
        <w:t>n</w:t>
      </w:r>
      <w:r>
        <w:rPr>
          <w:noProof/>
          <w:snapToGrid/>
          <w:sz w:val="22"/>
        </w:rPr>
        <w:t xml:space="preserve"> =</w:t>
      </w:r>
      <w:r>
        <w:tab/>
      </w:r>
      <w:r>
        <w:rPr>
          <w:noProof/>
          <w:snapToGrid/>
          <w:sz w:val="22"/>
        </w:rPr>
        <w:t>&lt;</w:t>
      </w:r>
      <w:r w:rsidRPr="00BF38B4">
        <w:rPr>
          <w:noProof/>
          <w:snapToGrid/>
          <w:sz w:val="22"/>
          <w:highlight w:val="yellow"/>
        </w:rPr>
        <w:t>Indíquese el precio oficial o el índice correspondiente de suministro y mantenimiento de equipos en el mes n</w:t>
      </w:r>
      <w:r>
        <w:rPr>
          <w:noProof/>
          <w:snapToGrid/>
          <w:sz w:val="22"/>
        </w:rPr>
        <w:t>&gt;</w:t>
      </w:r>
    </w:p>
    <w:p w:rsidR="00091417" w:rsidRPr="007A04CD" w:rsidRDefault="00091417" w:rsidP="007A04CD">
      <w:pPr>
        <w:spacing w:line="276" w:lineRule="auto"/>
        <w:ind w:left="2268" w:hanging="567"/>
        <w:outlineLvl w:val="8"/>
        <w:rPr>
          <w:rFonts w:eastAsia="Calibri"/>
          <w:noProof/>
          <w:snapToGrid/>
          <w:sz w:val="22"/>
          <w:szCs w:val="22"/>
        </w:rPr>
      </w:pPr>
      <w:r>
        <w:rPr>
          <w:noProof/>
          <w:snapToGrid/>
          <w:sz w:val="22"/>
        </w:rPr>
        <w:t>G</w:t>
      </w:r>
      <w:r>
        <w:rPr>
          <w:noProof/>
          <w:snapToGrid/>
          <w:sz w:val="22"/>
          <w:vertAlign w:val="subscript"/>
        </w:rPr>
        <w:t xml:space="preserve">0 </w:t>
      </w:r>
      <w:r>
        <w:rPr>
          <w:noProof/>
          <w:snapToGrid/>
          <w:sz w:val="22"/>
        </w:rPr>
        <w:t>=</w:t>
      </w:r>
      <w:r>
        <w:tab/>
      </w:r>
      <w:r>
        <w:rPr>
          <w:noProof/>
          <w:snapToGrid/>
          <w:sz w:val="22"/>
        </w:rPr>
        <w:t>&lt;</w:t>
      </w:r>
      <w:r w:rsidRPr="00BF38B4">
        <w:rPr>
          <w:noProof/>
          <w:snapToGrid/>
          <w:sz w:val="22"/>
          <w:highlight w:val="yellow"/>
        </w:rPr>
        <w:t>Indíquese el precio oficial o el índice correspondiente de la gasolina, el gas o el gasóleo en la fecha de referencia</w:t>
      </w:r>
      <w:r>
        <w:rPr>
          <w:noProof/>
          <w:snapToGrid/>
          <w:sz w:val="22"/>
        </w:rPr>
        <w:t>&gt;</w:t>
      </w:r>
    </w:p>
    <w:p w:rsidR="00091417" w:rsidRPr="007A04CD" w:rsidRDefault="00091417" w:rsidP="007A04CD">
      <w:pPr>
        <w:spacing w:line="276" w:lineRule="auto"/>
        <w:ind w:left="2268" w:hanging="567"/>
        <w:outlineLvl w:val="8"/>
        <w:rPr>
          <w:rFonts w:eastAsia="Calibri"/>
          <w:noProof/>
          <w:snapToGrid/>
          <w:sz w:val="22"/>
          <w:szCs w:val="22"/>
        </w:rPr>
      </w:pPr>
      <w:r>
        <w:rPr>
          <w:noProof/>
          <w:snapToGrid/>
          <w:sz w:val="22"/>
        </w:rPr>
        <w:t>G</w:t>
      </w:r>
      <w:r>
        <w:rPr>
          <w:noProof/>
          <w:snapToGrid/>
          <w:sz w:val="22"/>
          <w:vertAlign w:val="subscript"/>
        </w:rPr>
        <w:t xml:space="preserve">n </w:t>
      </w:r>
      <w:r>
        <w:rPr>
          <w:noProof/>
          <w:snapToGrid/>
          <w:sz w:val="22"/>
        </w:rPr>
        <w:t>=</w:t>
      </w:r>
      <w:r>
        <w:tab/>
      </w:r>
      <w:r>
        <w:rPr>
          <w:noProof/>
          <w:snapToGrid/>
          <w:sz w:val="22"/>
        </w:rPr>
        <w:t>&lt;</w:t>
      </w:r>
      <w:r w:rsidRPr="00BF38B4">
        <w:rPr>
          <w:noProof/>
          <w:snapToGrid/>
          <w:sz w:val="22"/>
          <w:highlight w:val="yellow"/>
        </w:rPr>
        <w:t>Indíquese el precio oficial o el índice correspondiente de la gasolina, el gas o el gasóleo en el mes n</w:t>
      </w:r>
      <w:r>
        <w:rPr>
          <w:noProof/>
          <w:snapToGrid/>
          <w:sz w:val="22"/>
        </w:rPr>
        <w:t>&gt;</w:t>
      </w:r>
    </w:p>
    <w:p w:rsidR="00091417" w:rsidRDefault="00091417" w:rsidP="007A04CD">
      <w:pPr>
        <w:ind w:left="2268" w:hanging="567"/>
        <w:jc w:val="both"/>
        <w:rPr>
          <w:snapToGrid/>
          <w:sz w:val="22"/>
        </w:rPr>
      </w:pPr>
      <w:r>
        <w:rPr>
          <w:noProof/>
          <w:snapToGrid/>
          <w:sz w:val="22"/>
        </w:rPr>
        <w:t>Tx</w:t>
      </w:r>
      <w:r>
        <w:rPr>
          <w:noProof/>
          <w:snapToGrid/>
          <w:sz w:val="22"/>
          <w:vertAlign w:val="subscript"/>
        </w:rPr>
        <w:t>0</w:t>
      </w:r>
      <w:r>
        <w:rPr>
          <w:noProof/>
          <w:snapToGrid/>
          <w:sz w:val="22"/>
        </w:rPr>
        <w:t xml:space="preserve"> =</w:t>
      </w:r>
      <w:r>
        <w:tab/>
      </w:r>
      <w:r w:rsidRPr="00793EB5">
        <w:rPr>
          <w:snapToGrid/>
          <w:sz w:val="22"/>
        </w:rPr>
        <w:t>Tipo de cambio entre la moneda de</w:t>
      </w:r>
      <w:r w:rsidR="00634896" w:rsidRPr="00793EB5">
        <w:rPr>
          <w:snapToGrid/>
          <w:sz w:val="22"/>
        </w:rPr>
        <w:t>l indicador seleccionado «C» y</w:t>
      </w:r>
      <w:r w:rsidR="00E14B5C">
        <w:rPr>
          <w:snapToGrid/>
          <w:sz w:val="22"/>
        </w:rPr>
        <w:t xml:space="preserve"> </w:t>
      </w:r>
      <w:r w:rsidR="00634896" w:rsidRPr="00793EB5">
        <w:rPr>
          <w:snapToGrid/>
          <w:sz w:val="22"/>
        </w:rPr>
        <w:t>la moneda de pago del contrato</w:t>
      </w:r>
      <w:r>
        <w:rPr>
          <w:snapToGrid/>
          <w:sz w:val="22"/>
        </w:rPr>
        <w:t xml:space="preserve"> </w:t>
      </w:r>
      <w:r w:rsidR="00634896">
        <w:rPr>
          <w:snapToGrid/>
          <w:sz w:val="22"/>
        </w:rPr>
        <w:t>«E»</w:t>
      </w:r>
      <w:r>
        <w:rPr>
          <w:snapToGrid/>
          <w:sz w:val="22"/>
        </w:rPr>
        <w:t xml:space="preserve"> en la fecha de referencia</w:t>
      </w:r>
      <w:r w:rsidR="0077598E">
        <w:rPr>
          <w:snapToGrid/>
          <w:sz w:val="22"/>
        </w:rPr>
        <w:t xml:space="preserve">: </w:t>
      </w:r>
      <w:r w:rsidR="0077598E" w:rsidRPr="00793EB5">
        <w:rPr>
          <w:snapToGrid/>
          <w:sz w:val="22"/>
        </w:rPr>
        <w:t xml:space="preserve">1 C = </w:t>
      </w:r>
      <w:r w:rsidR="00793EB5">
        <w:rPr>
          <w:noProof/>
          <w:snapToGrid/>
          <w:sz w:val="22"/>
        </w:rPr>
        <w:t>Tx</w:t>
      </w:r>
      <w:r w:rsidR="00793EB5">
        <w:rPr>
          <w:noProof/>
          <w:snapToGrid/>
          <w:sz w:val="22"/>
          <w:vertAlign w:val="subscript"/>
        </w:rPr>
        <w:t>0</w:t>
      </w:r>
      <w:r w:rsidR="0077598E" w:rsidRPr="00793EB5">
        <w:rPr>
          <w:snapToGrid/>
          <w:sz w:val="22"/>
        </w:rPr>
        <w:t xml:space="preserve"> E</w:t>
      </w:r>
    </w:p>
    <w:p w:rsidR="0083431D" w:rsidRPr="0083431D" w:rsidRDefault="0083431D" w:rsidP="0083431D">
      <w:pPr>
        <w:ind w:left="2268" w:hanging="709"/>
        <w:jc w:val="both"/>
        <w:rPr>
          <w:sz w:val="22"/>
          <w:szCs w:val="22"/>
        </w:rPr>
      </w:pPr>
      <w:r>
        <w:rPr>
          <w:snapToGrid/>
          <w:sz w:val="22"/>
        </w:rPr>
        <w:tab/>
      </w:r>
      <w:r w:rsidRPr="0083431D">
        <w:rPr>
          <w:sz w:val="22"/>
          <w:szCs w:val="22"/>
        </w:rPr>
        <w:t>Los tipos de cambio serán los publicados en el sitio InforEuro, que se encuentra actualmente http://ec.europa.eu/budget/index_en.cfm</w:t>
      </w:r>
    </w:p>
    <w:p w:rsidR="00091417" w:rsidRDefault="00091417" w:rsidP="007A04CD">
      <w:pPr>
        <w:spacing w:line="360" w:lineRule="auto"/>
        <w:ind w:left="2268" w:hanging="567"/>
        <w:jc w:val="both"/>
        <w:rPr>
          <w:snapToGrid/>
          <w:sz w:val="22"/>
        </w:rPr>
      </w:pPr>
      <w:r>
        <w:rPr>
          <w:noProof/>
          <w:snapToGrid/>
          <w:sz w:val="22"/>
        </w:rPr>
        <w:t>Tx</w:t>
      </w:r>
      <w:r>
        <w:rPr>
          <w:noProof/>
          <w:snapToGrid/>
          <w:sz w:val="22"/>
          <w:vertAlign w:val="subscript"/>
        </w:rPr>
        <w:t xml:space="preserve">n </w:t>
      </w:r>
      <w:r>
        <w:rPr>
          <w:noProof/>
          <w:snapToGrid/>
          <w:sz w:val="22"/>
        </w:rPr>
        <w:t>=</w:t>
      </w:r>
      <w:r>
        <w:tab/>
      </w:r>
      <w:r>
        <w:rPr>
          <w:snapToGrid/>
          <w:sz w:val="22"/>
        </w:rPr>
        <w:t>Mismo tipo de cambio en el mes n</w:t>
      </w:r>
      <w:r w:rsidR="0077598E">
        <w:rPr>
          <w:snapToGrid/>
          <w:sz w:val="22"/>
        </w:rPr>
        <w:t xml:space="preserve">: </w:t>
      </w:r>
      <w:r w:rsidR="0077598E" w:rsidRPr="00793EB5">
        <w:rPr>
          <w:snapToGrid/>
          <w:sz w:val="22"/>
        </w:rPr>
        <w:t xml:space="preserve">1 C = </w:t>
      </w:r>
      <w:r w:rsidR="00793EB5">
        <w:rPr>
          <w:noProof/>
          <w:snapToGrid/>
          <w:sz w:val="22"/>
        </w:rPr>
        <w:t>Tx</w:t>
      </w:r>
      <w:r w:rsidR="00793EB5">
        <w:rPr>
          <w:noProof/>
          <w:snapToGrid/>
          <w:sz w:val="22"/>
          <w:vertAlign w:val="subscript"/>
        </w:rPr>
        <w:t>n</w:t>
      </w:r>
      <w:r w:rsidR="0077598E" w:rsidRPr="00793EB5">
        <w:rPr>
          <w:snapToGrid/>
          <w:sz w:val="22"/>
        </w:rPr>
        <w:t xml:space="preserve"> E</w:t>
      </w:r>
    </w:p>
    <w:p w:rsidR="00B36FB5" w:rsidRPr="007A04CD" w:rsidRDefault="00B36FB5" w:rsidP="007A04CD">
      <w:pPr>
        <w:spacing w:line="360" w:lineRule="auto"/>
        <w:ind w:left="2268" w:hanging="567"/>
        <w:jc w:val="both"/>
        <w:rPr>
          <w:noProof/>
          <w:snapToGrid/>
          <w:sz w:val="22"/>
          <w:szCs w:val="22"/>
        </w:rPr>
      </w:pPr>
    </w:p>
    <w:p w:rsidR="00212E05" w:rsidRPr="00805023" w:rsidRDefault="00212E05" w:rsidP="007A04CD">
      <w:pPr>
        <w:pStyle w:val="evidence1"/>
        <w:spacing w:after="120" w:line="240" w:lineRule="auto"/>
        <w:ind w:left="1701" w:firstLine="0"/>
        <w:rPr>
          <w:rFonts w:ascii="Times New Roman" w:hAnsi="Times New Roman" w:cs="Times New Roman"/>
          <w:sz w:val="22"/>
          <w:szCs w:val="22"/>
        </w:rPr>
      </w:pPr>
      <w:r>
        <w:rPr>
          <w:rFonts w:ascii="Times New Roman" w:hAnsi="Times New Roman"/>
          <w:sz w:val="22"/>
          <w:highlight w:val="yellow"/>
        </w:rPr>
        <w:t>Se seleccionarán los índices o precios (E Mt y G) más fiables de los que estén disponibles. Los índices enumerados anteriormente se entenderán estrictamente definidos como en el documento de origen. También se especificarán la entidad de publicación y el título de la publicación correspondiente.</w:t>
      </w:r>
    </w:p>
    <w:p w:rsidR="00212E05" w:rsidRPr="00212E05" w:rsidRDefault="00212E05" w:rsidP="00F2670B">
      <w:pPr>
        <w:spacing w:after="120" w:line="276" w:lineRule="auto"/>
        <w:ind w:left="1701"/>
        <w:outlineLvl w:val="8"/>
        <w:rPr>
          <w:rFonts w:eastAsia="Calibri"/>
          <w:noProof/>
          <w:snapToGrid/>
          <w:sz w:val="22"/>
          <w:szCs w:val="22"/>
        </w:rPr>
      </w:pPr>
      <w:r>
        <w:rPr>
          <w:noProof/>
          <w:snapToGrid/>
          <w:sz w:val="22"/>
        </w:rPr>
        <w:t>El total de los coeficientes deberá ser igual a 1.</w:t>
      </w:r>
    </w:p>
    <w:p w:rsidR="00C14018" w:rsidRPr="00C14018" w:rsidRDefault="00C14018" w:rsidP="00F2670B">
      <w:pPr>
        <w:spacing w:after="120" w:line="276" w:lineRule="auto"/>
        <w:ind w:left="1701"/>
        <w:jc w:val="both"/>
        <w:outlineLvl w:val="8"/>
        <w:rPr>
          <w:sz w:val="22"/>
          <w:szCs w:val="22"/>
          <w:highlight w:val="yellow"/>
        </w:rPr>
      </w:pPr>
      <w:r w:rsidRPr="00C14018">
        <w:rPr>
          <w:sz w:val="22"/>
          <w:szCs w:val="22"/>
          <w:highlight w:val="yellow"/>
        </w:rPr>
        <w:t xml:space="preserve">[Como regla general, el coeficiente </w:t>
      </w:r>
      <w:r>
        <w:rPr>
          <w:sz w:val="22"/>
          <w:szCs w:val="22"/>
          <w:highlight w:val="yellow"/>
        </w:rPr>
        <w:t>«</w:t>
      </w:r>
      <w:r w:rsidRPr="00C14018">
        <w:rPr>
          <w:sz w:val="22"/>
          <w:szCs w:val="22"/>
          <w:highlight w:val="yellow"/>
        </w:rPr>
        <w:t>a</w:t>
      </w:r>
      <w:r>
        <w:rPr>
          <w:sz w:val="22"/>
          <w:szCs w:val="22"/>
          <w:highlight w:val="yellow"/>
        </w:rPr>
        <w:t>»</w:t>
      </w:r>
      <w:r w:rsidRPr="00C14018">
        <w:rPr>
          <w:sz w:val="22"/>
          <w:szCs w:val="22"/>
          <w:highlight w:val="yellow"/>
        </w:rPr>
        <w:t xml:space="preserve"> medio de la fórmula proporcional calculado para proyectos de construcción de carreteras debe </w:t>
      </w:r>
      <w:r>
        <w:rPr>
          <w:sz w:val="22"/>
          <w:szCs w:val="22"/>
          <w:highlight w:val="yellow"/>
        </w:rPr>
        <w:t>ser superior a</w:t>
      </w:r>
      <w:r w:rsidRPr="00C14018">
        <w:rPr>
          <w:sz w:val="22"/>
          <w:szCs w:val="22"/>
          <w:highlight w:val="yellow"/>
        </w:rPr>
        <w:t xml:space="preserve"> </w:t>
      </w:r>
      <w:r w:rsidR="00E63ABD" w:rsidRPr="00C14018">
        <w:rPr>
          <w:sz w:val="22"/>
          <w:szCs w:val="22"/>
          <w:highlight w:val="yellow"/>
        </w:rPr>
        <w:t>0,35.</w:t>
      </w:r>
    </w:p>
    <w:p w:rsidR="00212E05" w:rsidRPr="00212E05" w:rsidRDefault="00212E05" w:rsidP="00F2670B">
      <w:pPr>
        <w:spacing w:after="120" w:line="276" w:lineRule="auto"/>
        <w:ind w:left="1701"/>
        <w:jc w:val="both"/>
        <w:outlineLvl w:val="8"/>
        <w:rPr>
          <w:rFonts w:eastAsia="Calibri"/>
          <w:noProof/>
          <w:snapToGrid/>
          <w:sz w:val="22"/>
          <w:szCs w:val="22"/>
        </w:rPr>
      </w:pPr>
      <w:r>
        <w:rPr>
          <w:noProof/>
          <w:snapToGrid/>
          <w:sz w:val="22"/>
        </w:rPr>
        <w:lastRenderedPageBreak/>
        <w:t xml:space="preserve">Los coeficientes a, b, c y d se calcularán sobre la base del desglose detallado de precios proporcionado por el </w:t>
      </w:r>
      <w:r w:rsidR="002C30FD">
        <w:rPr>
          <w:noProof/>
          <w:snapToGrid/>
          <w:sz w:val="22"/>
        </w:rPr>
        <w:t>contratista</w:t>
      </w:r>
      <w:r>
        <w:rPr>
          <w:noProof/>
          <w:snapToGrid/>
          <w:sz w:val="22"/>
        </w:rPr>
        <w:t xml:space="preserve"> en su oferta. El </w:t>
      </w:r>
      <w:r w:rsidR="002C30FD">
        <w:rPr>
          <w:noProof/>
          <w:snapToGrid/>
          <w:sz w:val="22"/>
        </w:rPr>
        <w:t>contratista</w:t>
      </w:r>
      <w:r>
        <w:rPr>
          <w:noProof/>
          <w:snapToGrid/>
          <w:sz w:val="22"/>
        </w:rPr>
        <w:t xml:space="preserve"> deberá presentar cálculos aritméticos claros para los coeficientes propuestos. </w:t>
      </w:r>
    </w:p>
    <w:p w:rsidR="00212E05" w:rsidRDefault="00212E05" w:rsidP="00F2670B">
      <w:pPr>
        <w:spacing w:after="120" w:line="276" w:lineRule="auto"/>
        <w:ind w:left="1701"/>
        <w:outlineLvl w:val="8"/>
        <w:rPr>
          <w:rFonts w:eastAsia="Calibri"/>
          <w:noProof/>
          <w:snapToGrid/>
          <w:sz w:val="22"/>
          <w:szCs w:val="22"/>
        </w:rPr>
      </w:pPr>
      <w:r>
        <w:rPr>
          <w:noProof/>
          <w:snapToGrid/>
          <w:sz w:val="22"/>
        </w:rPr>
        <w:t>A fin de evitar una revisión de precios doble, el coeficiente a deberá incluir la ponderación de los insumos o materiales a los que se aplica la fórmula monomaterial.</w:t>
      </w:r>
    </w:p>
    <w:p w:rsidR="00212E05" w:rsidRPr="00805023" w:rsidRDefault="00212E05" w:rsidP="00F2670B">
      <w:pPr>
        <w:numPr>
          <w:ilvl w:val="0"/>
          <w:numId w:val="10"/>
        </w:numPr>
        <w:spacing w:after="120"/>
        <w:ind w:left="1701" w:hanging="357"/>
        <w:jc w:val="both"/>
        <w:rPr>
          <w:sz w:val="22"/>
          <w:szCs w:val="22"/>
        </w:rPr>
      </w:pPr>
      <w:r>
        <w:rPr>
          <w:sz w:val="22"/>
        </w:rPr>
        <w:t>No habrá umbral de revisión.</w:t>
      </w:r>
    </w:p>
    <w:p w:rsidR="00212E05" w:rsidRPr="00805023" w:rsidRDefault="00212E05" w:rsidP="00F2670B">
      <w:pPr>
        <w:numPr>
          <w:ilvl w:val="0"/>
          <w:numId w:val="10"/>
        </w:numPr>
        <w:spacing w:after="120"/>
        <w:ind w:left="1701" w:hanging="357"/>
        <w:jc w:val="both"/>
        <w:rPr>
          <w:sz w:val="22"/>
          <w:szCs w:val="22"/>
        </w:rPr>
      </w:pPr>
      <w:r>
        <w:rPr>
          <w:sz w:val="22"/>
        </w:rPr>
        <w:t xml:space="preserve">Si el </w:t>
      </w:r>
      <w:r w:rsidR="002C30FD">
        <w:rPr>
          <w:sz w:val="22"/>
        </w:rPr>
        <w:t>contratista</w:t>
      </w:r>
      <w:r>
        <w:rPr>
          <w:sz w:val="22"/>
        </w:rPr>
        <w:t xml:space="preserve"> modifica el origen de las fuentes de aprovisionamiento de los materiales o de otros elementos que se empleen en la realización de las obras, informará de ello por escrito en el plazo de </w:t>
      </w:r>
      <w:r w:rsidR="00CA2F80">
        <w:rPr>
          <w:sz w:val="22"/>
        </w:rPr>
        <w:t>30</w:t>
      </w:r>
      <w:r>
        <w:rPr>
          <w:sz w:val="22"/>
        </w:rPr>
        <w:t xml:space="preserve"> días al </w:t>
      </w:r>
      <w:r w:rsidR="002C30FD">
        <w:rPr>
          <w:sz w:val="22"/>
        </w:rPr>
        <w:t>supervisor</w:t>
      </w:r>
      <w:r>
        <w:rPr>
          <w:sz w:val="22"/>
        </w:rPr>
        <w:t>, quien modificará la fórmula de revisión de precios incorporando los índices del nuevo país de origen.</w:t>
      </w:r>
    </w:p>
    <w:p w:rsidR="001050EE" w:rsidRPr="00116CA6" w:rsidRDefault="001050EE" w:rsidP="00116CA6">
      <w:pPr>
        <w:spacing w:before="240"/>
        <w:ind w:left="1276" w:hanging="1276"/>
        <w:jc w:val="both"/>
        <w:rPr>
          <w:b/>
          <w:szCs w:val="24"/>
        </w:rPr>
      </w:pPr>
      <w:bookmarkStart w:id="32" w:name="_Toc76894442"/>
      <w:r>
        <w:rPr>
          <w:b/>
        </w:rPr>
        <w:t>Cláusula 49</w:t>
      </w:r>
      <w:r>
        <w:tab/>
      </w:r>
      <w:r w:rsidR="008133C4">
        <w:tab/>
      </w:r>
      <w:r>
        <w:rPr>
          <w:b/>
        </w:rPr>
        <w:t>Medición</w:t>
      </w:r>
      <w:bookmarkEnd w:id="32"/>
    </w:p>
    <w:p w:rsidR="001050EE" w:rsidRPr="00101855" w:rsidRDefault="001050EE" w:rsidP="00101855">
      <w:pPr>
        <w:spacing w:before="120" w:after="120"/>
        <w:ind w:left="1276" w:hanging="709"/>
        <w:jc w:val="both"/>
        <w:rPr>
          <w:sz w:val="22"/>
          <w:szCs w:val="22"/>
          <w:highlight w:val="yellow"/>
        </w:rPr>
      </w:pPr>
      <w:r>
        <w:rPr>
          <w:sz w:val="22"/>
        </w:rPr>
        <w:t>49.1</w:t>
      </w:r>
      <w:r>
        <w:tab/>
      </w:r>
      <w:r>
        <w:rPr>
          <w:sz w:val="22"/>
        </w:rPr>
        <w:t>[</w:t>
      </w:r>
      <w:r>
        <w:rPr>
          <w:sz w:val="22"/>
          <w:highlight w:val="yellow"/>
        </w:rPr>
        <w:t>Indíquese uno de los tres métodos siguientes de medición de las obras:</w:t>
      </w:r>
    </w:p>
    <w:p w:rsidR="001050EE" w:rsidRPr="00E725FE" w:rsidRDefault="001050EE" w:rsidP="00101855">
      <w:pPr>
        <w:tabs>
          <w:tab w:val="left" w:pos="1843"/>
        </w:tabs>
        <w:spacing w:after="120"/>
        <w:ind w:left="1843" w:hanging="510"/>
        <w:jc w:val="both"/>
        <w:rPr>
          <w:sz w:val="22"/>
          <w:szCs w:val="22"/>
        </w:rPr>
      </w:pPr>
      <w:r>
        <w:rPr>
          <w:b/>
          <w:sz w:val="22"/>
        </w:rPr>
        <w:t>(*)</w:t>
      </w:r>
      <w:r>
        <w:tab/>
      </w:r>
      <w:r w:rsidR="00C14018">
        <w:rPr>
          <w:sz w:val="22"/>
        </w:rPr>
        <w:t>[</w:t>
      </w:r>
      <w:r w:rsidRPr="00C14018">
        <w:rPr>
          <w:sz w:val="22"/>
          <w:highlight w:val="lightGray"/>
        </w:rPr>
        <w:t>Contrato por una cantidad fija única.</w:t>
      </w:r>
    </w:p>
    <w:p w:rsidR="001050EE" w:rsidRDefault="001050EE" w:rsidP="00101855">
      <w:pPr>
        <w:tabs>
          <w:tab w:val="left" w:pos="1843"/>
        </w:tabs>
        <w:ind w:left="1843"/>
        <w:jc w:val="both"/>
        <w:rPr>
          <w:sz w:val="22"/>
          <w:szCs w:val="22"/>
        </w:rPr>
      </w:pPr>
      <w:r w:rsidRPr="00C14018">
        <w:rPr>
          <w:sz w:val="22"/>
          <w:highlight w:val="lightGray"/>
        </w:rPr>
        <w:t>Los importes adeudados se calcularán</w:t>
      </w:r>
      <w:r>
        <w:rPr>
          <w:sz w:val="22"/>
        </w:rPr>
        <w:t xml:space="preserve"> </w:t>
      </w:r>
      <w:r>
        <w:rPr>
          <w:sz w:val="22"/>
          <w:highlight w:val="yellow"/>
        </w:rPr>
        <w:t>&lt;p. e</w:t>
      </w:r>
      <w:r w:rsidR="00E63ABD">
        <w:rPr>
          <w:sz w:val="22"/>
          <w:highlight w:val="yellow"/>
        </w:rPr>
        <w:t>j</w:t>
      </w:r>
      <w:r>
        <w:rPr>
          <w:sz w:val="22"/>
          <w:highlight w:val="yellow"/>
        </w:rPr>
        <w:t>.: midiendo el porcentaje de las obras realizadas en relación con las cantidades de cada partida del desglose del precio fijo único y aplicando ese porcentaje al precio fijo único</w:t>
      </w:r>
      <w:r w:rsidR="00C14018">
        <w:rPr>
          <w:sz w:val="22"/>
          <w:highlight w:val="yellow"/>
        </w:rPr>
        <w:t xml:space="preserve"> de la partida correspondiente&gt;</w:t>
      </w:r>
      <w:r>
        <w:rPr>
          <w:sz w:val="22"/>
          <w:highlight w:val="yellow"/>
        </w:rPr>
        <w:t xml:space="preserve">/ &lt;por ejemplo: a través de los siguientes </w:t>
      </w:r>
      <w:r w:rsidR="00E63ABD">
        <w:rPr>
          <w:sz w:val="22"/>
          <w:highlight w:val="yellow"/>
        </w:rPr>
        <w:t>tramos…</w:t>
      </w:r>
      <w:r>
        <w:rPr>
          <w:sz w:val="22"/>
          <w:highlight w:val="yellow"/>
        </w:rPr>
        <w:t>.</w:t>
      </w:r>
      <w:r>
        <w:rPr>
          <w:sz w:val="22"/>
        </w:rPr>
        <w:t xml:space="preserve"> </w:t>
      </w:r>
      <w:r>
        <w:rPr>
          <w:sz w:val="22"/>
          <w:highlight w:val="yellow"/>
        </w:rPr>
        <w:t>&gt;</w:t>
      </w:r>
      <w:r>
        <w:rPr>
          <w:sz w:val="22"/>
        </w:rPr>
        <w:t>.</w:t>
      </w:r>
      <w:r w:rsidR="00C14018">
        <w:rPr>
          <w:sz w:val="22"/>
          <w:szCs w:val="22"/>
        </w:rPr>
        <w:t>]</w:t>
      </w:r>
    </w:p>
    <w:p w:rsidR="001050EE" w:rsidRPr="00E725FE" w:rsidRDefault="001050EE" w:rsidP="00101855">
      <w:pPr>
        <w:tabs>
          <w:tab w:val="left" w:pos="1843"/>
        </w:tabs>
        <w:spacing w:before="120" w:after="120"/>
        <w:ind w:left="1843" w:hanging="510"/>
        <w:jc w:val="both"/>
        <w:rPr>
          <w:sz w:val="22"/>
          <w:szCs w:val="22"/>
        </w:rPr>
      </w:pPr>
      <w:r>
        <w:rPr>
          <w:b/>
          <w:sz w:val="22"/>
        </w:rPr>
        <w:t>(*)</w:t>
      </w:r>
      <w:r>
        <w:tab/>
      </w:r>
      <w:r w:rsidR="00C14018">
        <w:rPr>
          <w:sz w:val="22"/>
        </w:rPr>
        <w:t>[</w:t>
      </w:r>
      <w:r w:rsidRPr="00C14018">
        <w:rPr>
          <w:sz w:val="22"/>
          <w:highlight w:val="lightGray"/>
        </w:rPr>
        <w:t>Contrato de precio unitario.</w:t>
      </w:r>
    </w:p>
    <w:p w:rsidR="001050EE" w:rsidRPr="00E725FE" w:rsidRDefault="001050EE" w:rsidP="00101855">
      <w:pPr>
        <w:tabs>
          <w:tab w:val="left" w:pos="1843"/>
        </w:tabs>
        <w:spacing w:after="240"/>
        <w:ind w:left="1843"/>
        <w:jc w:val="both"/>
        <w:rPr>
          <w:sz w:val="22"/>
          <w:szCs w:val="22"/>
        </w:rPr>
      </w:pPr>
      <w:r w:rsidRPr="00C14018">
        <w:rPr>
          <w:sz w:val="22"/>
          <w:highlight w:val="yellow"/>
        </w:rPr>
        <w:t xml:space="preserve">&lt;o, en el caso de un contrato híbrido, </w:t>
      </w:r>
      <w:r w:rsidRPr="00C14018">
        <w:rPr>
          <w:sz w:val="22"/>
          <w:szCs w:val="22"/>
          <w:highlight w:val="yellow"/>
        </w:rPr>
        <w:t xml:space="preserve">por ejemplo:&gt; Aparte de los importes considerados cantidades fijas únicas en la relación de cantidades, este es un contrato de precio unitario </w:t>
      </w:r>
      <w:r w:rsidR="00C14018" w:rsidRPr="00C14018">
        <w:rPr>
          <w:sz w:val="22"/>
          <w:szCs w:val="22"/>
          <w:highlight w:val="yellow"/>
        </w:rPr>
        <w:t>[</w:t>
      </w:r>
      <w:r w:rsidR="00C14018" w:rsidRPr="001C2095">
        <w:rPr>
          <w:sz w:val="22"/>
          <w:szCs w:val="22"/>
          <w:highlight w:val="yellow"/>
        </w:rPr>
        <w:t>&lt;</w:t>
      </w:r>
      <w:r w:rsidRPr="00C14018">
        <w:rPr>
          <w:sz w:val="22"/>
          <w:szCs w:val="22"/>
          <w:highlight w:val="yellow"/>
        </w:rPr>
        <w:t xml:space="preserve">U otro ejemplo:&gt;Además de las </w:t>
      </w:r>
      <w:r w:rsidR="00E63ABD" w:rsidRPr="00C14018">
        <w:rPr>
          <w:sz w:val="22"/>
          <w:szCs w:val="22"/>
          <w:highlight w:val="yellow"/>
        </w:rPr>
        <w:t>partidas</w:t>
      </w:r>
      <w:r w:rsidR="00E63ABD" w:rsidRPr="00C14018">
        <w:rPr>
          <w:highlight w:val="yellow"/>
        </w:rPr>
        <w:t>…</w:t>
      </w:r>
      <w:r w:rsidRPr="00C14018">
        <w:rPr>
          <w:sz w:val="22"/>
          <w:highlight w:val="yellow"/>
        </w:rPr>
        <w:t>. &lt;por identificar&gt;, este es un contrato de precio unitario</w:t>
      </w:r>
      <w:r w:rsidR="00C14018">
        <w:rPr>
          <w:sz w:val="22"/>
        </w:rPr>
        <w:t>.</w:t>
      </w:r>
      <w:r w:rsidR="00C14018">
        <w:rPr>
          <w:sz w:val="22"/>
          <w:szCs w:val="22"/>
        </w:rPr>
        <w:t>]]</w:t>
      </w:r>
    </w:p>
    <w:p w:rsidR="001050EE" w:rsidRPr="00E725FE" w:rsidRDefault="001050EE" w:rsidP="00101855">
      <w:pPr>
        <w:tabs>
          <w:tab w:val="left" w:pos="1843"/>
        </w:tabs>
        <w:spacing w:after="120"/>
        <w:ind w:left="1843" w:hanging="510"/>
        <w:jc w:val="both"/>
        <w:rPr>
          <w:b/>
          <w:bCs/>
          <w:sz w:val="22"/>
          <w:szCs w:val="22"/>
        </w:rPr>
      </w:pPr>
      <w:r>
        <w:rPr>
          <w:b/>
          <w:sz w:val="22"/>
        </w:rPr>
        <w:t>(*)</w:t>
      </w:r>
      <w:r>
        <w:tab/>
      </w:r>
      <w:r w:rsidR="00C14018">
        <w:rPr>
          <w:sz w:val="22"/>
        </w:rPr>
        <w:t>[</w:t>
      </w:r>
      <w:r w:rsidRPr="00C14018">
        <w:rPr>
          <w:sz w:val="22"/>
          <w:highlight w:val="lightGray"/>
        </w:rPr>
        <w:t>Contrato de coste de margen fijo («cost plus»). (</w:t>
      </w:r>
      <w:r w:rsidR="00C14018" w:rsidRPr="00C14018">
        <w:rPr>
          <w:sz w:val="22"/>
          <w:highlight w:val="lightGray"/>
        </w:rPr>
        <w:t xml:space="preserve">Especifíquese </w:t>
      </w:r>
      <w:r w:rsidRPr="00C14018">
        <w:rPr>
          <w:sz w:val="22"/>
          <w:highlight w:val="lightGray"/>
        </w:rPr>
        <w:t xml:space="preserve">la información que el </w:t>
      </w:r>
      <w:r w:rsidR="002C30FD">
        <w:rPr>
          <w:sz w:val="22"/>
          <w:highlight w:val="lightGray"/>
        </w:rPr>
        <w:t>contratista</w:t>
      </w:r>
      <w:r w:rsidRPr="00C14018">
        <w:rPr>
          <w:sz w:val="22"/>
          <w:highlight w:val="lightGray"/>
        </w:rPr>
        <w:t xml:space="preserve"> debe comunicar al </w:t>
      </w:r>
      <w:r w:rsidR="002C30FD">
        <w:rPr>
          <w:sz w:val="22"/>
          <w:highlight w:val="lightGray"/>
        </w:rPr>
        <w:t>supervisor</w:t>
      </w:r>
      <w:r w:rsidRPr="00C14018">
        <w:rPr>
          <w:sz w:val="22"/>
          <w:highlight w:val="lightGray"/>
        </w:rPr>
        <w:t xml:space="preserve"> y el procedimiento para ello).</w:t>
      </w:r>
      <w:r w:rsidR="00C14018" w:rsidRPr="00C14018">
        <w:rPr>
          <w:sz w:val="22"/>
          <w:szCs w:val="22"/>
          <w:highlight w:val="lightGray"/>
        </w:rPr>
        <w:t>]</w:t>
      </w:r>
      <w:r w:rsidR="00C14018">
        <w:rPr>
          <w:sz w:val="22"/>
          <w:szCs w:val="22"/>
        </w:rPr>
        <w:t>]</w:t>
      </w:r>
    </w:p>
    <w:p w:rsidR="001050EE" w:rsidRPr="00116CA6" w:rsidRDefault="001050EE" w:rsidP="00116CA6">
      <w:pPr>
        <w:spacing w:before="240"/>
        <w:ind w:left="1276" w:hanging="1276"/>
        <w:jc w:val="both"/>
        <w:rPr>
          <w:b/>
          <w:szCs w:val="24"/>
        </w:rPr>
      </w:pPr>
      <w:bookmarkStart w:id="33" w:name="_Toc76894443"/>
      <w:r>
        <w:rPr>
          <w:b/>
        </w:rPr>
        <w:t>Cláusula 50</w:t>
      </w:r>
      <w:r>
        <w:tab/>
      </w:r>
      <w:r w:rsidR="008133C4">
        <w:tab/>
      </w:r>
      <w:r>
        <w:rPr>
          <w:b/>
        </w:rPr>
        <w:t>Pagos intermedios</w:t>
      </w:r>
      <w:bookmarkEnd w:id="33"/>
    </w:p>
    <w:p w:rsidR="001050EE" w:rsidRPr="00101855" w:rsidRDefault="001050EE" w:rsidP="00101855">
      <w:pPr>
        <w:spacing w:before="120" w:after="120"/>
        <w:ind w:left="1276" w:hanging="709"/>
        <w:rPr>
          <w:sz w:val="22"/>
          <w:szCs w:val="22"/>
        </w:rPr>
      </w:pPr>
      <w:r>
        <w:rPr>
          <w:sz w:val="22"/>
        </w:rPr>
        <w:t>50.1</w:t>
      </w:r>
      <w:r>
        <w:tab/>
      </w:r>
      <w:r>
        <w:rPr>
          <w:sz w:val="22"/>
        </w:rPr>
        <w:t>&lt;</w:t>
      </w:r>
      <w:r>
        <w:rPr>
          <w:sz w:val="22"/>
          <w:highlight w:val="yellow"/>
        </w:rPr>
        <w:t>Indíquense las modalidades de funcionamiento de los pagos intermedios</w:t>
      </w:r>
      <w:r>
        <w:rPr>
          <w:sz w:val="22"/>
        </w:rPr>
        <w:t>.&gt;</w:t>
      </w:r>
    </w:p>
    <w:p w:rsidR="001050EE" w:rsidRPr="00116CA6" w:rsidRDefault="001050EE" w:rsidP="00116CA6">
      <w:pPr>
        <w:spacing w:before="240"/>
        <w:ind w:left="1276" w:hanging="1276"/>
        <w:jc w:val="both"/>
        <w:rPr>
          <w:b/>
          <w:szCs w:val="24"/>
        </w:rPr>
      </w:pPr>
      <w:bookmarkStart w:id="34" w:name="_Toc76894444"/>
      <w:r>
        <w:rPr>
          <w:b/>
        </w:rPr>
        <w:t>Cláusula 51</w:t>
      </w:r>
      <w:r>
        <w:tab/>
      </w:r>
      <w:r w:rsidR="008133C4">
        <w:tab/>
      </w:r>
      <w:r>
        <w:rPr>
          <w:b/>
        </w:rPr>
        <w:t>Liquidación final</w:t>
      </w:r>
      <w:bookmarkEnd w:id="34"/>
    </w:p>
    <w:p w:rsidR="001050EE" w:rsidRPr="00E725FE" w:rsidRDefault="001050EE" w:rsidP="00101855">
      <w:pPr>
        <w:pStyle w:val="Text1"/>
        <w:ind w:left="1418" w:hanging="1418"/>
        <w:rPr>
          <w:sz w:val="22"/>
          <w:szCs w:val="22"/>
          <w:highlight w:val="lightGray"/>
        </w:rPr>
      </w:pPr>
      <w:r>
        <w:rPr>
          <w:sz w:val="22"/>
        </w:rPr>
        <w:t>51.1) y 2)</w:t>
      </w:r>
      <w:r>
        <w:tab/>
      </w:r>
      <w:r>
        <w:rPr>
          <w:sz w:val="22"/>
          <w:highlight w:val="yellow"/>
        </w:rPr>
        <w:t>[Según la práctica en el Estado del Órgano de Contratación, podrán incluirse las siguientes disposiciones:</w:t>
      </w:r>
    </w:p>
    <w:p w:rsidR="009E24C9" w:rsidRPr="00C14018" w:rsidRDefault="009E24C9" w:rsidP="00101855">
      <w:pPr>
        <w:pStyle w:val="Text1"/>
        <w:ind w:left="1276" w:hanging="709"/>
        <w:rPr>
          <w:sz w:val="22"/>
          <w:szCs w:val="22"/>
          <w:highlight w:val="lightGray"/>
        </w:rPr>
      </w:pPr>
      <w:r>
        <w:rPr>
          <w:sz w:val="22"/>
        </w:rPr>
        <w:t>51.1</w:t>
      </w:r>
      <w:r>
        <w:tab/>
      </w:r>
      <w:r w:rsidRPr="00C14018">
        <w:rPr>
          <w:sz w:val="22"/>
          <w:highlight w:val="lightGray"/>
        </w:rPr>
        <w:t xml:space="preserve">El </w:t>
      </w:r>
      <w:r w:rsidR="002C30FD">
        <w:rPr>
          <w:sz w:val="22"/>
          <w:highlight w:val="lightGray"/>
        </w:rPr>
        <w:t>contratista</w:t>
      </w:r>
      <w:r w:rsidRPr="00C14018">
        <w:rPr>
          <w:sz w:val="22"/>
          <w:highlight w:val="lightGray"/>
        </w:rPr>
        <w:t xml:space="preserve"> deberá presentar al </w:t>
      </w:r>
      <w:r w:rsidR="002C30FD">
        <w:rPr>
          <w:sz w:val="22"/>
          <w:highlight w:val="lightGray"/>
        </w:rPr>
        <w:t>supervisor</w:t>
      </w:r>
      <w:r w:rsidRPr="00C14018">
        <w:rPr>
          <w:sz w:val="22"/>
          <w:highlight w:val="lightGray"/>
        </w:rPr>
        <w:t xml:space="preserve"> un proyecto de liquidación final cuando solicite el certificado de</w:t>
      </w:r>
      <w:r w:rsidR="00333ED7">
        <w:rPr>
          <w:sz w:val="22"/>
          <w:highlight w:val="lightGray"/>
        </w:rPr>
        <w:t xml:space="preserve"> recepción definitiva</w:t>
      </w:r>
      <w:r w:rsidRPr="00C14018">
        <w:rPr>
          <w:sz w:val="22"/>
          <w:highlight w:val="lightGray"/>
        </w:rPr>
        <w:t xml:space="preserve">. A fin de que el </w:t>
      </w:r>
      <w:r w:rsidR="002C30FD">
        <w:rPr>
          <w:sz w:val="22"/>
          <w:highlight w:val="lightGray"/>
        </w:rPr>
        <w:t>supervisor</w:t>
      </w:r>
      <w:r w:rsidRPr="00C14018">
        <w:rPr>
          <w:sz w:val="22"/>
          <w:highlight w:val="lightGray"/>
        </w:rPr>
        <w:t xml:space="preserve"> pueda preparar la liquidación final, el proyecto de liquidación final se presentará con documentos justificativos que demuestren detalladamente el valor del trabajo realizado con arreglo al </w:t>
      </w:r>
      <w:r w:rsidR="00B42C3E">
        <w:rPr>
          <w:sz w:val="22"/>
          <w:highlight w:val="lightGray"/>
        </w:rPr>
        <w:t>contrato</w:t>
      </w:r>
      <w:r w:rsidRPr="00C14018">
        <w:rPr>
          <w:sz w:val="22"/>
          <w:highlight w:val="lightGray"/>
        </w:rPr>
        <w:t xml:space="preserve">, junto con todas las demás cantidades que el </w:t>
      </w:r>
      <w:r w:rsidR="002C30FD">
        <w:rPr>
          <w:sz w:val="22"/>
          <w:highlight w:val="lightGray"/>
        </w:rPr>
        <w:t>contratista</w:t>
      </w:r>
      <w:r w:rsidRPr="00C14018">
        <w:rPr>
          <w:sz w:val="22"/>
          <w:highlight w:val="lightGray"/>
        </w:rPr>
        <w:t xml:space="preserve"> considere que se le adeudan con arreglo al </w:t>
      </w:r>
      <w:r w:rsidR="00B42C3E">
        <w:rPr>
          <w:sz w:val="22"/>
          <w:highlight w:val="lightGray"/>
        </w:rPr>
        <w:t>contrato</w:t>
      </w:r>
      <w:r w:rsidRPr="00C14018">
        <w:rPr>
          <w:sz w:val="22"/>
          <w:highlight w:val="lightGray"/>
        </w:rPr>
        <w:t>.</w:t>
      </w:r>
    </w:p>
    <w:p w:rsidR="001050EE" w:rsidRPr="00E725FE" w:rsidRDefault="009E24C9" w:rsidP="00101855">
      <w:pPr>
        <w:ind w:left="1276" w:hanging="709"/>
        <w:jc w:val="both"/>
        <w:rPr>
          <w:sz w:val="22"/>
          <w:szCs w:val="22"/>
        </w:rPr>
      </w:pPr>
      <w:r w:rsidRPr="00C14018">
        <w:rPr>
          <w:sz w:val="22"/>
          <w:highlight w:val="lightGray"/>
        </w:rPr>
        <w:t>51.2</w:t>
      </w:r>
      <w:r w:rsidRPr="00C14018">
        <w:rPr>
          <w:highlight w:val="lightGray"/>
        </w:rPr>
        <w:tab/>
      </w:r>
      <w:r w:rsidR="00841438">
        <w:rPr>
          <w:sz w:val="22"/>
          <w:highlight w:val="lightGray"/>
        </w:rPr>
        <w:t>E</w:t>
      </w:r>
      <w:r w:rsidRPr="00C14018">
        <w:rPr>
          <w:sz w:val="22"/>
          <w:highlight w:val="lightGray"/>
        </w:rPr>
        <w:t xml:space="preserve">n los </w:t>
      </w:r>
      <w:r w:rsidR="00CA2F80">
        <w:rPr>
          <w:sz w:val="22"/>
          <w:highlight w:val="lightGray"/>
        </w:rPr>
        <w:t>30</w:t>
      </w:r>
      <w:r w:rsidRPr="00C14018">
        <w:rPr>
          <w:sz w:val="22"/>
          <w:highlight w:val="lightGray"/>
        </w:rPr>
        <w:t xml:space="preserve"> días siguientes a la expedición del certificado de recepción definitiva a que se refiere la cláusula</w:t>
      </w:r>
      <w:r w:rsidR="005D6248">
        <w:rPr>
          <w:sz w:val="22"/>
          <w:highlight w:val="lightGray"/>
        </w:rPr>
        <w:t xml:space="preserve"> </w:t>
      </w:r>
      <w:r w:rsidRPr="00C14018">
        <w:rPr>
          <w:sz w:val="22"/>
          <w:highlight w:val="lightGray"/>
        </w:rPr>
        <w:t xml:space="preserve">62, el </w:t>
      </w:r>
      <w:r w:rsidR="002C30FD">
        <w:rPr>
          <w:sz w:val="22"/>
          <w:highlight w:val="lightGray"/>
        </w:rPr>
        <w:t>supervisor</w:t>
      </w:r>
      <w:r w:rsidRPr="00C14018">
        <w:rPr>
          <w:sz w:val="22"/>
          <w:highlight w:val="lightGray"/>
        </w:rPr>
        <w:t xml:space="preserve"> elaborará y firmará la declaración final de gastos.</w:t>
      </w:r>
    </w:p>
    <w:p w:rsidR="001050EE" w:rsidRPr="00101855" w:rsidRDefault="001050EE" w:rsidP="00101855">
      <w:pPr>
        <w:spacing w:before="120" w:after="120"/>
        <w:ind w:left="1276" w:hanging="709"/>
        <w:rPr>
          <w:sz w:val="22"/>
          <w:szCs w:val="22"/>
        </w:rPr>
      </w:pPr>
      <w:r>
        <w:rPr>
          <w:sz w:val="22"/>
        </w:rPr>
        <w:t>51.6</w:t>
      </w:r>
      <w:r>
        <w:tab/>
      </w:r>
      <w:r>
        <w:rPr>
          <w:sz w:val="22"/>
        </w:rPr>
        <w:t>&lt;</w:t>
      </w:r>
      <w:r>
        <w:rPr>
          <w:sz w:val="22"/>
          <w:highlight w:val="yellow"/>
        </w:rPr>
        <w:t>Indique cualquier excepción.</w:t>
      </w:r>
      <w:r w:rsidR="00E63ABD">
        <w:rPr>
          <w:sz w:val="22"/>
          <w:highlight w:val="yellow"/>
        </w:rPr>
        <w:t>&gt;</w:t>
      </w:r>
      <w:r w:rsidR="00E63ABD" w:rsidRPr="00C14018">
        <w:rPr>
          <w:sz w:val="22"/>
        </w:rPr>
        <w:t>]</w:t>
      </w:r>
    </w:p>
    <w:p w:rsidR="001050EE" w:rsidRPr="00E725FE" w:rsidRDefault="001050EE" w:rsidP="00101855">
      <w:pPr>
        <w:tabs>
          <w:tab w:val="left" w:pos="615"/>
          <w:tab w:val="right" w:pos="5678"/>
        </w:tabs>
        <w:spacing w:before="120"/>
        <w:ind w:left="612" w:hanging="612"/>
        <w:jc w:val="both"/>
        <w:rPr>
          <w:b/>
          <w:bCs/>
          <w:sz w:val="22"/>
          <w:szCs w:val="22"/>
        </w:rPr>
      </w:pPr>
      <w:r>
        <w:rPr>
          <w:sz w:val="22"/>
          <w:highlight w:val="yellow"/>
        </w:rPr>
        <w:t>[Para la gestión directa, añádase la siguiente cláusula:</w:t>
      </w:r>
    </w:p>
    <w:p w:rsidR="001050EE" w:rsidRPr="00C14018" w:rsidRDefault="001050EE" w:rsidP="00116CA6">
      <w:pPr>
        <w:spacing w:before="240"/>
        <w:ind w:left="1276" w:hanging="1276"/>
        <w:jc w:val="both"/>
        <w:rPr>
          <w:b/>
          <w:szCs w:val="24"/>
          <w:highlight w:val="lightGray"/>
        </w:rPr>
      </w:pPr>
      <w:bookmarkStart w:id="35" w:name="_Toc76894445"/>
      <w:r w:rsidRPr="00C14018">
        <w:rPr>
          <w:b/>
          <w:highlight w:val="lightGray"/>
        </w:rPr>
        <w:t>Cláusula 53</w:t>
      </w:r>
      <w:r w:rsidRPr="00C14018">
        <w:rPr>
          <w:highlight w:val="lightGray"/>
        </w:rPr>
        <w:tab/>
      </w:r>
      <w:r w:rsidR="008133C4">
        <w:rPr>
          <w:highlight w:val="lightGray"/>
        </w:rPr>
        <w:tab/>
      </w:r>
      <w:r w:rsidRPr="00C14018">
        <w:rPr>
          <w:b/>
          <w:highlight w:val="lightGray"/>
        </w:rPr>
        <w:t>Pagos atrasados</w:t>
      </w:r>
      <w:bookmarkEnd w:id="35"/>
    </w:p>
    <w:p w:rsidR="00B25087" w:rsidRPr="00C14018" w:rsidRDefault="001050EE" w:rsidP="00101855">
      <w:pPr>
        <w:autoSpaceDE w:val="0"/>
        <w:autoSpaceDN w:val="0"/>
        <w:adjustRightInd w:val="0"/>
        <w:spacing w:before="120" w:after="120"/>
        <w:ind w:left="1276" w:hanging="709"/>
        <w:jc w:val="both"/>
        <w:rPr>
          <w:highlight w:val="lightGray"/>
        </w:rPr>
      </w:pPr>
      <w:r w:rsidRPr="00C14018">
        <w:rPr>
          <w:sz w:val="22"/>
          <w:highlight w:val="lightGray"/>
        </w:rPr>
        <w:lastRenderedPageBreak/>
        <w:t>53.1</w:t>
      </w:r>
      <w:r w:rsidRPr="00C14018">
        <w:rPr>
          <w:highlight w:val="lightGray"/>
        </w:rPr>
        <w:tab/>
      </w:r>
      <w:r w:rsidRPr="00C14018">
        <w:rPr>
          <w:sz w:val="22"/>
          <w:highlight w:val="lightGray"/>
        </w:rPr>
        <w:t>No obstante lo dispuesto en la cláusula</w:t>
      </w:r>
      <w:r w:rsidR="005D6248">
        <w:rPr>
          <w:sz w:val="22"/>
          <w:highlight w:val="lightGray"/>
        </w:rPr>
        <w:t xml:space="preserve"> </w:t>
      </w:r>
      <w:r w:rsidRPr="00C14018">
        <w:rPr>
          <w:sz w:val="22"/>
          <w:highlight w:val="lightGray"/>
        </w:rPr>
        <w:t>53.1, de las Condiciones Generales, una vez que haya expirado el plazo mencionado en la cláusula</w:t>
      </w:r>
      <w:r w:rsidR="005D6248">
        <w:rPr>
          <w:sz w:val="22"/>
          <w:highlight w:val="lightGray"/>
        </w:rPr>
        <w:t xml:space="preserve"> </w:t>
      </w:r>
      <w:r w:rsidRPr="00C14018">
        <w:rPr>
          <w:sz w:val="22"/>
          <w:highlight w:val="lightGray"/>
        </w:rPr>
        <w:t xml:space="preserve">44.3, el </w:t>
      </w:r>
      <w:r w:rsidR="002C30FD">
        <w:rPr>
          <w:sz w:val="22"/>
          <w:highlight w:val="lightGray"/>
        </w:rPr>
        <w:t>contratista</w:t>
      </w:r>
      <w:r w:rsidRPr="00C14018">
        <w:rPr>
          <w:sz w:val="22"/>
          <w:highlight w:val="lightGray"/>
        </w:rPr>
        <w:t xml:space="preserve"> tendrá derecho a percibir intereses de demora al tipo y durante el periodo mencionado en las Condiciones Generales.</w:t>
      </w:r>
      <w:r w:rsidR="005D6248">
        <w:rPr>
          <w:sz w:val="22"/>
          <w:highlight w:val="lightGray"/>
        </w:rPr>
        <w:t xml:space="preserve"> </w:t>
      </w:r>
    </w:p>
    <w:p w:rsidR="00B25087" w:rsidRDefault="00B25087" w:rsidP="00F2670B">
      <w:pPr>
        <w:autoSpaceDE w:val="0"/>
        <w:autoSpaceDN w:val="0"/>
        <w:adjustRightInd w:val="0"/>
        <w:spacing w:before="120" w:after="120"/>
        <w:ind w:left="1276"/>
        <w:jc w:val="both"/>
        <w:rPr>
          <w:sz w:val="22"/>
        </w:rPr>
      </w:pPr>
      <w:r w:rsidRPr="00C14018">
        <w:rPr>
          <w:sz w:val="22"/>
          <w:highlight w:val="lightGray"/>
        </w:rPr>
        <w:t>Sin embargo, cuando el importe de los intereses calculado de conformidad con el párrafo primero sea igual o inferior a 200</w:t>
      </w:r>
      <w:r w:rsidR="00E14B5C">
        <w:rPr>
          <w:sz w:val="22"/>
          <w:highlight w:val="lightGray"/>
        </w:rPr>
        <w:t xml:space="preserve"> </w:t>
      </w:r>
      <w:r w:rsidRPr="00C14018">
        <w:rPr>
          <w:sz w:val="22"/>
          <w:highlight w:val="lightGray"/>
        </w:rPr>
        <w:t>EUR, solo se pagará al acreedor previa solicitud presentada en el plazo de dos meses desde la recepción del pago atrasado</w:t>
      </w:r>
      <w:r>
        <w:rPr>
          <w:sz w:val="22"/>
        </w:rPr>
        <w:t>]</w:t>
      </w:r>
    </w:p>
    <w:p w:rsidR="001050EE" w:rsidRPr="00E725FE" w:rsidRDefault="00B25087" w:rsidP="00A4124B">
      <w:pPr>
        <w:tabs>
          <w:tab w:val="right" w:pos="5678"/>
        </w:tabs>
        <w:jc w:val="both"/>
        <w:rPr>
          <w:sz w:val="22"/>
          <w:szCs w:val="22"/>
        </w:rPr>
      </w:pPr>
      <w:r>
        <w:rPr>
          <w:sz w:val="22"/>
          <w:highlight w:val="yellow"/>
        </w:rPr>
        <w:t>[si el periodo de garantía no empieza a contar desde la fecha de recepción parcial, añádase la siguiente cláusula.]</w:t>
      </w:r>
    </w:p>
    <w:p w:rsidR="001050EE" w:rsidRPr="00C14018" w:rsidRDefault="001050EE" w:rsidP="00116CA6">
      <w:pPr>
        <w:spacing w:before="240"/>
        <w:ind w:left="1276" w:hanging="1276"/>
        <w:jc w:val="both"/>
        <w:rPr>
          <w:b/>
          <w:szCs w:val="24"/>
          <w:highlight w:val="lightGray"/>
        </w:rPr>
      </w:pPr>
      <w:bookmarkStart w:id="36" w:name="_Toc76894446"/>
      <w:r w:rsidRPr="00C14018">
        <w:rPr>
          <w:b/>
          <w:highlight w:val="lightGray"/>
        </w:rPr>
        <w:t>Cláusula 59</w:t>
      </w:r>
      <w:r w:rsidRPr="00C14018">
        <w:rPr>
          <w:highlight w:val="lightGray"/>
        </w:rPr>
        <w:tab/>
      </w:r>
      <w:r w:rsidR="008133C4">
        <w:rPr>
          <w:highlight w:val="lightGray"/>
        </w:rPr>
        <w:tab/>
      </w:r>
      <w:r w:rsidRPr="00C14018">
        <w:rPr>
          <w:b/>
          <w:highlight w:val="lightGray"/>
        </w:rPr>
        <w:t>Recepción parcial</w:t>
      </w:r>
      <w:bookmarkEnd w:id="36"/>
    </w:p>
    <w:p w:rsidR="001050EE" w:rsidRPr="00101855" w:rsidRDefault="001050EE" w:rsidP="00101855">
      <w:pPr>
        <w:tabs>
          <w:tab w:val="left" w:pos="3060"/>
        </w:tabs>
        <w:spacing w:before="120" w:after="120"/>
        <w:ind w:left="1276" w:hanging="709"/>
        <w:jc w:val="both"/>
        <w:rPr>
          <w:bCs/>
          <w:sz w:val="22"/>
          <w:szCs w:val="22"/>
        </w:rPr>
      </w:pPr>
      <w:r w:rsidRPr="00C14018">
        <w:rPr>
          <w:sz w:val="22"/>
          <w:highlight w:val="lightGray"/>
        </w:rPr>
        <w:t>59.3</w:t>
      </w:r>
      <w:r w:rsidRPr="00C14018">
        <w:rPr>
          <w:highlight w:val="lightGray"/>
        </w:rPr>
        <w:tab/>
      </w:r>
      <w:r w:rsidRPr="00C14018">
        <w:rPr>
          <w:sz w:val="22"/>
          <w:highlight w:val="lightGray"/>
        </w:rPr>
        <w:t>El periodo de garantía previsto en la cláusula</w:t>
      </w:r>
      <w:r w:rsidR="005D6248">
        <w:rPr>
          <w:sz w:val="22"/>
          <w:highlight w:val="lightGray"/>
        </w:rPr>
        <w:t xml:space="preserve"> </w:t>
      </w:r>
      <w:r w:rsidRPr="00C14018">
        <w:rPr>
          <w:sz w:val="22"/>
          <w:highlight w:val="lightGray"/>
        </w:rPr>
        <w:t>6</w:t>
      </w:r>
      <w:r w:rsidR="00C14018" w:rsidRPr="00C14018">
        <w:rPr>
          <w:sz w:val="22"/>
          <w:highlight w:val="lightGray"/>
        </w:rPr>
        <w:t>1</w:t>
      </w:r>
      <w:r w:rsidRPr="00C14018">
        <w:rPr>
          <w:sz w:val="22"/>
          <w:highlight w:val="lightGray"/>
        </w:rPr>
        <w:t xml:space="preserve"> se iniciará el</w:t>
      </w:r>
      <w:r>
        <w:rPr>
          <w:sz w:val="22"/>
        </w:rPr>
        <w:t xml:space="preserve"> </w:t>
      </w:r>
      <w:r>
        <w:rPr>
          <w:sz w:val="22"/>
          <w:highlight w:val="yellow"/>
        </w:rPr>
        <w:t>&lt; Indíquese cuándo comienza el periodo de garantía</w:t>
      </w:r>
      <w:r>
        <w:rPr>
          <w:sz w:val="22"/>
        </w:rPr>
        <w:t>&gt;]</w:t>
      </w:r>
    </w:p>
    <w:p w:rsidR="001050EE" w:rsidRPr="00116CA6" w:rsidRDefault="001050EE" w:rsidP="00116CA6">
      <w:pPr>
        <w:spacing w:before="240"/>
        <w:ind w:left="1276" w:hanging="1276"/>
        <w:jc w:val="both"/>
        <w:rPr>
          <w:b/>
          <w:szCs w:val="24"/>
        </w:rPr>
      </w:pPr>
      <w:bookmarkStart w:id="37" w:name="_Toc76894447"/>
      <w:r>
        <w:rPr>
          <w:b/>
        </w:rPr>
        <w:t>Cláusula 60</w:t>
      </w:r>
      <w:r>
        <w:tab/>
      </w:r>
      <w:r w:rsidR="008133C4">
        <w:tab/>
      </w:r>
      <w:r>
        <w:rPr>
          <w:b/>
        </w:rPr>
        <w:t>Recepción provisional</w:t>
      </w:r>
      <w:bookmarkEnd w:id="37"/>
    </w:p>
    <w:p w:rsidR="001050EE" w:rsidRPr="00E725FE" w:rsidRDefault="00101855" w:rsidP="00E5391D">
      <w:pPr>
        <w:spacing w:before="120"/>
        <w:ind w:left="1276" w:hanging="709"/>
        <w:jc w:val="both"/>
        <w:rPr>
          <w:b/>
          <w:bCs/>
          <w:sz w:val="22"/>
          <w:szCs w:val="22"/>
        </w:rPr>
      </w:pPr>
      <w:r>
        <w:rPr>
          <w:sz w:val="22"/>
        </w:rPr>
        <w:t>60.1</w:t>
      </w:r>
      <w:r>
        <w:tab/>
      </w:r>
      <w:r>
        <w:rPr>
          <w:sz w:val="22"/>
        </w:rPr>
        <w:t>Como complemento a la cláusula</w:t>
      </w:r>
      <w:r w:rsidR="005D6248">
        <w:rPr>
          <w:sz w:val="22"/>
        </w:rPr>
        <w:t xml:space="preserve"> </w:t>
      </w:r>
      <w:r>
        <w:rPr>
          <w:sz w:val="22"/>
        </w:rPr>
        <w:t>60.1 de las Condiciones Generales &lt;</w:t>
      </w:r>
      <w:r>
        <w:rPr>
          <w:sz w:val="22"/>
          <w:highlight w:val="yellow"/>
        </w:rPr>
        <w:t>Indíquense las medidas detalladas de recepción provisional</w:t>
      </w:r>
      <w:r>
        <w:rPr>
          <w:sz w:val="22"/>
        </w:rPr>
        <w:t>.&gt;</w:t>
      </w:r>
    </w:p>
    <w:p w:rsidR="001050EE" w:rsidRPr="00116CA6" w:rsidRDefault="001050EE" w:rsidP="00116CA6">
      <w:pPr>
        <w:spacing w:before="240"/>
        <w:ind w:left="1276" w:hanging="1276"/>
        <w:jc w:val="both"/>
        <w:rPr>
          <w:b/>
          <w:szCs w:val="24"/>
        </w:rPr>
      </w:pPr>
      <w:bookmarkStart w:id="38" w:name="_Toc76894448"/>
      <w:r>
        <w:rPr>
          <w:b/>
        </w:rPr>
        <w:t>Cláusula 61</w:t>
      </w:r>
      <w:r>
        <w:tab/>
      </w:r>
      <w:r w:rsidR="008133C4">
        <w:tab/>
      </w:r>
      <w:r>
        <w:rPr>
          <w:b/>
        </w:rPr>
        <w:t>Garantía</w:t>
      </w:r>
      <w:bookmarkEnd w:id="38"/>
    </w:p>
    <w:p w:rsidR="00401C44" w:rsidRPr="00851D16" w:rsidRDefault="009E24C9" w:rsidP="00851D16">
      <w:pPr>
        <w:spacing w:before="120" w:after="120"/>
        <w:ind w:left="1276" w:hanging="709"/>
        <w:jc w:val="both"/>
        <w:rPr>
          <w:sz w:val="22"/>
          <w:szCs w:val="22"/>
        </w:rPr>
      </w:pPr>
      <w:r>
        <w:rPr>
          <w:sz w:val="22"/>
        </w:rPr>
        <w:t>61.1</w:t>
      </w:r>
      <w:r>
        <w:tab/>
      </w:r>
      <w:r>
        <w:rPr>
          <w:sz w:val="22"/>
        </w:rPr>
        <w:t xml:space="preserve">El periodo de garantía se define como el periodo que comienza en la fecha de recepción provisional, durante la cual el </w:t>
      </w:r>
      <w:r w:rsidR="002C30FD">
        <w:rPr>
          <w:sz w:val="22"/>
        </w:rPr>
        <w:t>contratista</w:t>
      </w:r>
      <w:r>
        <w:rPr>
          <w:sz w:val="22"/>
        </w:rPr>
        <w:t xml:space="preserve"> estará obligado a reparar cualquier </w:t>
      </w:r>
      <w:r w:rsidR="00B45527">
        <w:rPr>
          <w:sz w:val="22"/>
        </w:rPr>
        <w:t>d</w:t>
      </w:r>
      <w:r>
        <w:rPr>
          <w:sz w:val="22"/>
        </w:rPr>
        <w:t xml:space="preserve">efecto o deterioro de cualquier parte del trabajo que pueda presentarse o producirse a lo largo de ese periodo, notificado por el </w:t>
      </w:r>
      <w:r w:rsidR="002C30FD">
        <w:rPr>
          <w:sz w:val="22"/>
        </w:rPr>
        <w:t>supervisor</w:t>
      </w:r>
      <w:r>
        <w:rPr>
          <w:sz w:val="22"/>
        </w:rPr>
        <w:t xml:space="preserve"> o el Órgano de Contratación. Los derechos y obligaciones de las Partes en lo referente a este periodo de garantía se establecen en la cláusula</w:t>
      </w:r>
      <w:r w:rsidR="005D6248">
        <w:rPr>
          <w:sz w:val="22"/>
        </w:rPr>
        <w:t xml:space="preserve"> </w:t>
      </w:r>
      <w:r>
        <w:rPr>
          <w:sz w:val="22"/>
        </w:rPr>
        <w:t xml:space="preserve">61 de las Condiciones Generales. </w:t>
      </w:r>
    </w:p>
    <w:p w:rsidR="00401C44" w:rsidRDefault="00851D16" w:rsidP="00851D16">
      <w:pPr>
        <w:spacing w:before="120" w:after="120"/>
        <w:ind w:left="1276"/>
        <w:jc w:val="both"/>
        <w:rPr>
          <w:sz w:val="22"/>
          <w:szCs w:val="22"/>
        </w:rPr>
      </w:pPr>
      <w:r>
        <w:rPr>
          <w:sz w:val="22"/>
        </w:rPr>
        <w:t>[</w:t>
      </w:r>
      <w:r>
        <w:rPr>
          <w:sz w:val="22"/>
          <w:highlight w:val="yellow"/>
        </w:rPr>
        <w:t>si fuera preciso, podrá añadirse alguna obligación adicional:</w:t>
      </w:r>
      <w:r>
        <w:rPr>
          <w:sz w:val="22"/>
        </w:rPr>
        <w:t xml:space="preserve"> </w:t>
      </w:r>
    </w:p>
    <w:p w:rsidR="00401C44" w:rsidRPr="00E725FE" w:rsidRDefault="00401C44" w:rsidP="00851D16">
      <w:pPr>
        <w:spacing w:before="120" w:after="120"/>
        <w:ind w:left="1276"/>
        <w:jc w:val="both"/>
        <w:rPr>
          <w:sz w:val="22"/>
          <w:szCs w:val="22"/>
        </w:rPr>
      </w:pPr>
      <w:r w:rsidRPr="00C14018">
        <w:rPr>
          <w:sz w:val="22"/>
          <w:highlight w:val="lightGray"/>
        </w:rPr>
        <w:t>Como complemento de la cláusula</w:t>
      </w:r>
      <w:r w:rsidR="005D6248">
        <w:rPr>
          <w:sz w:val="22"/>
          <w:highlight w:val="lightGray"/>
        </w:rPr>
        <w:t xml:space="preserve"> </w:t>
      </w:r>
      <w:r w:rsidRPr="00C14018">
        <w:rPr>
          <w:sz w:val="22"/>
          <w:highlight w:val="lightGray"/>
        </w:rPr>
        <w:t>61.1 de las Condiciones Generales</w:t>
      </w:r>
      <w:r>
        <w:rPr>
          <w:sz w:val="22"/>
        </w:rPr>
        <w:t xml:space="preserve"> &lt;</w:t>
      </w:r>
      <w:r>
        <w:rPr>
          <w:sz w:val="22"/>
          <w:highlight w:val="yellow"/>
        </w:rPr>
        <w:t>Indíquese cualquier obligación adicional cubierta por la garantía.</w:t>
      </w:r>
      <w:r w:rsidR="00E63ABD">
        <w:rPr>
          <w:sz w:val="22"/>
        </w:rPr>
        <w:t>&gt;]</w:t>
      </w:r>
    </w:p>
    <w:p w:rsidR="001050EE" w:rsidRPr="00851D16" w:rsidRDefault="001050EE" w:rsidP="00851D16">
      <w:pPr>
        <w:shd w:val="clear" w:color="auto" w:fill="FFFFFF"/>
        <w:spacing w:before="120" w:after="120"/>
        <w:ind w:left="1276" w:hanging="709"/>
        <w:jc w:val="both"/>
        <w:rPr>
          <w:sz w:val="22"/>
          <w:szCs w:val="22"/>
        </w:rPr>
      </w:pPr>
      <w:r>
        <w:rPr>
          <w:sz w:val="22"/>
        </w:rPr>
        <w:t xml:space="preserve">61.6 </w:t>
      </w:r>
      <w:r>
        <w:tab/>
      </w:r>
      <w:r>
        <w:rPr>
          <w:sz w:val="22"/>
        </w:rPr>
        <w:t>&lt;</w:t>
      </w:r>
      <w:r>
        <w:rPr>
          <w:sz w:val="22"/>
          <w:highlight w:val="yellow"/>
        </w:rPr>
        <w:t xml:space="preserve">Indíquese si el </w:t>
      </w:r>
      <w:r w:rsidR="002C30FD">
        <w:rPr>
          <w:sz w:val="22"/>
          <w:highlight w:val="yellow"/>
        </w:rPr>
        <w:t>contratista</w:t>
      </w:r>
      <w:r>
        <w:rPr>
          <w:sz w:val="22"/>
          <w:highlight w:val="yellow"/>
        </w:rPr>
        <w:t xml:space="preserve"> deberá asumir el trabajo de reparación de los daños producidos por el desgaste natural</w:t>
      </w:r>
      <w:r>
        <w:rPr>
          <w:sz w:val="22"/>
        </w:rPr>
        <w:t>.&gt;</w:t>
      </w:r>
    </w:p>
    <w:p w:rsidR="001050EE" w:rsidRPr="0077598E" w:rsidRDefault="001050EE" w:rsidP="00851D16">
      <w:pPr>
        <w:spacing w:before="120" w:after="120"/>
        <w:ind w:left="1276" w:hanging="709"/>
        <w:jc w:val="both"/>
        <w:rPr>
          <w:sz w:val="22"/>
          <w:highlight w:val="yellow"/>
        </w:rPr>
      </w:pPr>
      <w:r>
        <w:rPr>
          <w:sz w:val="22"/>
        </w:rPr>
        <w:t>61.7</w:t>
      </w:r>
      <w:r>
        <w:tab/>
      </w:r>
      <w:r>
        <w:rPr>
          <w:sz w:val="22"/>
        </w:rPr>
        <w:t>&lt;</w:t>
      </w:r>
      <w:r>
        <w:rPr>
          <w:sz w:val="22"/>
          <w:highlight w:val="yellow"/>
        </w:rPr>
        <w:t xml:space="preserve">Indíquese si la duración del periodo de garantía es inferior al máximo de 365 días. Especifíquense las obligaciones adicionales garantizadas, </w:t>
      </w:r>
      <w:r w:rsidR="00E63ABD">
        <w:rPr>
          <w:sz w:val="22"/>
          <w:highlight w:val="yellow"/>
        </w:rPr>
        <w:t>p. ej.</w:t>
      </w:r>
      <w:r>
        <w:rPr>
          <w:sz w:val="22"/>
          <w:highlight w:val="yellow"/>
        </w:rPr>
        <w:t xml:space="preserve"> la garantía comercial</w:t>
      </w:r>
      <w:r>
        <w:rPr>
          <w:sz w:val="22"/>
        </w:rPr>
        <w:t>.&gt;</w:t>
      </w:r>
    </w:p>
    <w:p w:rsidR="0077598E" w:rsidRPr="00851D16" w:rsidRDefault="0077598E" w:rsidP="0077598E">
      <w:pPr>
        <w:spacing w:before="120" w:after="120"/>
        <w:ind w:left="1276"/>
        <w:jc w:val="both"/>
        <w:rPr>
          <w:i/>
          <w:iCs/>
          <w:sz w:val="22"/>
          <w:szCs w:val="22"/>
        </w:rPr>
      </w:pPr>
      <w:r>
        <w:rPr>
          <w:sz w:val="22"/>
        </w:rPr>
        <w:t>&lt;</w:t>
      </w:r>
      <w:r>
        <w:rPr>
          <w:sz w:val="22"/>
          <w:highlight w:val="yellow"/>
        </w:rPr>
        <w:t>Indíquese si</w:t>
      </w:r>
      <w:r w:rsidRPr="0077598E">
        <w:rPr>
          <w:sz w:val="22"/>
          <w:highlight w:val="yellow"/>
        </w:rPr>
        <w:t xml:space="preserve"> </w:t>
      </w:r>
      <w:r>
        <w:rPr>
          <w:sz w:val="22"/>
          <w:highlight w:val="yellow"/>
        </w:rPr>
        <w:t>alguna normativa</w:t>
      </w:r>
      <w:r w:rsidRPr="0077598E">
        <w:rPr>
          <w:sz w:val="22"/>
          <w:highlight w:val="yellow"/>
        </w:rPr>
        <w:t xml:space="preserve"> legal establece un</w:t>
      </w:r>
      <w:r>
        <w:rPr>
          <w:sz w:val="22"/>
          <w:highlight w:val="yellow"/>
        </w:rPr>
        <w:t>o o vario</w:t>
      </w:r>
      <w:r w:rsidRPr="0077598E">
        <w:rPr>
          <w:sz w:val="22"/>
          <w:highlight w:val="yellow"/>
        </w:rPr>
        <w:t>s per</w:t>
      </w:r>
      <w:r>
        <w:rPr>
          <w:sz w:val="22"/>
          <w:highlight w:val="yellow"/>
        </w:rPr>
        <w:t>i</w:t>
      </w:r>
      <w:r w:rsidRPr="0077598E">
        <w:rPr>
          <w:sz w:val="22"/>
          <w:highlight w:val="yellow"/>
        </w:rPr>
        <w:t>odos obligatori</w:t>
      </w:r>
      <w:r>
        <w:rPr>
          <w:sz w:val="22"/>
          <w:highlight w:val="yellow"/>
        </w:rPr>
        <w:t>os</w:t>
      </w:r>
      <w:r w:rsidRPr="0077598E">
        <w:rPr>
          <w:sz w:val="22"/>
          <w:highlight w:val="yellow"/>
        </w:rPr>
        <w:t xml:space="preserve"> y</w:t>
      </w:r>
      <w:r>
        <w:rPr>
          <w:sz w:val="22"/>
          <w:highlight w:val="yellow"/>
        </w:rPr>
        <w:t>,</w:t>
      </w:r>
      <w:r w:rsidRPr="0077598E">
        <w:rPr>
          <w:sz w:val="22"/>
          <w:highlight w:val="yellow"/>
        </w:rPr>
        <w:t xml:space="preserve"> en su caso</w:t>
      </w:r>
      <w:r>
        <w:rPr>
          <w:sz w:val="22"/>
          <w:highlight w:val="yellow"/>
        </w:rPr>
        <w:t>,</w:t>
      </w:r>
      <w:r w:rsidRPr="0077598E">
        <w:rPr>
          <w:sz w:val="22"/>
          <w:highlight w:val="yellow"/>
        </w:rPr>
        <w:t xml:space="preserve"> el alcance de la responsabilid</w:t>
      </w:r>
      <w:r>
        <w:rPr>
          <w:sz w:val="22"/>
          <w:highlight w:val="yellow"/>
        </w:rPr>
        <w:t>ad del contratista por cada peri</w:t>
      </w:r>
      <w:r w:rsidRPr="0077598E">
        <w:rPr>
          <w:sz w:val="22"/>
          <w:highlight w:val="yellow"/>
        </w:rPr>
        <w:t>odo</w:t>
      </w:r>
      <w:r>
        <w:rPr>
          <w:sz w:val="22"/>
        </w:rPr>
        <w:t>.&gt;</w:t>
      </w:r>
    </w:p>
    <w:p w:rsidR="001050EE" w:rsidRPr="00116CA6" w:rsidRDefault="001050EE" w:rsidP="00116CA6">
      <w:pPr>
        <w:spacing w:before="240"/>
        <w:ind w:left="1276" w:hanging="1276"/>
        <w:jc w:val="both"/>
        <w:rPr>
          <w:b/>
          <w:szCs w:val="24"/>
        </w:rPr>
      </w:pPr>
      <w:bookmarkStart w:id="39" w:name="_Toc76894451"/>
      <w:r>
        <w:rPr>
          <w:b/>
        </w:rPr>
        <w:t>Cláusula 68</w:t>
      </w:r>
      <w:r>
        <w:tab/>
      </w:r>
      <w:r w:rsidR="008133C4">
        <w:tab/>
      </w:r>
      <w:r>
        <w:rPr>
          <w:b/>
        </w:rPr>
        <w:t xml:space="preserve">Resolución de </w:t>
      </w:r>
      <w:bookmarkEnd w:id="39"/>
      <w:r w:rsidR="00E63ABD">
        <w:rPr>
          <w:b/>
        </w:rPr>
        <w:t>controversias</w:t>
      </w:r>
    </w:p>
    <w:p w:rsidR="001050EE" w:rsidRPr="00E5391D" w:rsidRDefault="001050EE" w:rsidP="00E5391D">
      <w:pPr>
        <w:autoSpaceDE w:val="0"/>
        <w:autoSpaceDN w:val="0"/>
        <w:adjustRightInd w:val="0"/>
        <w:spacing w:before="120" w:after="120"/>
        <w:ind w:left="1276" w:hanging="709"/>
        <w:jc w:val="both"/>
        <w:rPr>
          <w:sz w:val="22"/>
          <w:szCs w:val="22"/>
        </w:rPr>
      </w:pPr>
      <w:r>
        <w:rPr>
          <w:rStyle w:val="DefaultMargins"/>
          <w:rFonts w:ascii="Times New Roman" w:hAnsi="Times New Roman"/>
          <w:spacing w:val="-3"/>
          <w:sz w:val="22"/>
        </w:rPr>
        <w:t>68.4</w:t>
      </w:r>
      <w:r>
        <w:tab/>
      </w:r>
      <w:r>
        <w:rPr>
          <w:sz w:val="22"/>
          <w:highlight w:val="yellow"/>
        </w:rPr>
        <w:t>[Gestión directa</w:t>
      </w:r>
      <w:r>
        <w:rPr>
          <w:sz w:val="22"/>
        </w:rPr>
        <w:t>:</w:t>
      </w:r>
    </w:p>
    <w:p w:rsidR="001050EE" w:rsidRPr="00E725FE" w:rsidRDefault="001050EE" w:rsidP="00E5391D">
      <w:pPr>
        <w:autoSpaceDE w:val="0"/>
        <w:autoSpaceDN w:val="0"/>
        <w:adjustRightInd w:val="0"/>
        <w:spacing w:after="120"/>
        <w:ind w:left="1276"/>
        <w:jc w:val="both"/>
        <w:rPr>
          <w:sz w:val="22"/>
          <w:szCs w:val="22"/>
        </w:rPr>
      </w:pPr>
      <w:r>
        <w:rPr>
          <w:sz w:val="22"/>
          <w:highlight w:val="lightGray"/>
        </w:rPr>
        <w:t xml:space="preserve">Las </w:t>
      </w:r>
      <w:r w:rsidR="00E63ABD">
        <w:rPr>
          <w:sz w:val="22"/>
          <w:highlight w:val="lightGray"/>
        </w:rPr>
        <w:t>controversias</w:t>
      </w:r>
      <w:r>
        <w:rPr>
          <w:sz w:val="22"/>
          <w:highlight w:val="lightGray"/>
        </w:rPr>
        <w:t xml:space="preserve"> que se deriven del presente </w:t>
      </w:r>
      <w:r w:rsidR="00B42C3E">
        <w:rPr>
          <w:sz w:val="22"/>
          <w:highlight w:val="lightGray"/>
        </w:rPr>
        <w:t>contrato</w:t>
      </w:r>
      <w:r>
        <w:rPr>
          <w:sz w:val="22"/>
          <w:highlight w:val="lightGray"/>
        </w:rPr>
        <w:t xml:space="preserve"> o que se planteen en relación con él y que no puedan </w:t>
      </w:r>
      <w:r w:rsidR="00E63ABD">
        <w:rPr>
          <w:sz w:val="22"/>
          <w:highlight w:val="lightGray"/>
        </w:rPr>
        <w:t>resolverse</w:t>
      </w:r>
      <w:r>
        <w:rPr>
          <w:sz w:val="22"/>
          <w:highlight w:val="lightGray"/>
        </w:rPr>
        <w:t xml:space="preserve"> de otra forma se someterán a la jurisdicción exclusiva de</w:t>
      </w:r>
      <w:r w:rsidR="00E63ABD">
        <w:rPr>
          <w:sz w:val="22"/>
          <w:highlight w:val="lightGray"/>
        </w:rPr>
        <w:t xml:space="preserve"> los tribunales de</w:t>
      </w:r>
      <w:r>
        <w:rPr>
          <w:sz w:val="22"/>
          <w:highlight w:val="lightGray"/>
        </w:rPr>
        <w:t xml:space="preserve"> Bruselas, Bélgica</w:t>
      </w:r>
      <w:r>
        <w:rPr>
          <w:sz w:val="22"/>
        </w:rPr>
        <w:t>.]</w:t>
      </w:r>
    </w:p>
    <w:p w:rsidR="001050EE" w:rsidRPr="00E725FE" w:rsidRDefault="001050EE" w:rsidP="00E5391D">
      <w:pPr>
        <w:autoSpaceDE w:val="0"/>
        <w:autoSpaceDN w:val="0"/>
        <w:adjustRightInd w:val="0"/>
        <w:spacing w:after="120"/>
        <w:ind w:left="1276"/>
        <w:rPr>
          <w:sz w:val="22"/>
          <w:szCs w:val="22"/>
          <w:highlight w:val="yellow"/>
        </w:rPr>
      </w:pPr>
      <w:r>
        <w:rPr>
          <w:sz w:val="22"/>
          <w:highlight w:val="yellow"/>
        </w:rPr>
        <w:t>[Gestión indirecta:</w:t>
      </w:r>
    </w:p>
    <w:p w:rsidR="001050EE" w:rsidRPr="00E725FE" w:rsidRDefault="001050EE" w:rsidP="00E5391D">
      <w:pPr>
        <w:autoSpaceDE w:val="0"/>
        <w:autoSpaceDN w:val="0"/>
        <w:adjustRightInd w:val="0"/>
        <w:spacing w:after="120"/>
        <w:ind w:left="1276"/>
        <w:rPr>
          <w:sz w:val="22"/>
          <w:szCs w:val="22"/>
        </w:rPr>
      </w:pPr>
      <w:r>
        <w:rPr>
          <w:sz w:val="22"/>
          <w:highlight w:val="yellow"/>
        </w:rPr>
        <w:t>[PRESUPUESTO:</w:t>
      </w:r>
    </w:p>
    <w:p w:rsidR="001050EE" w:rsidRPr="00E725FE" w:rsidRDefault="001050EE" w:rsidP="00E5391D">
      <w:pPr>
        <w:autoSpaceDE w:val="0"/>
        <w:autoSpaceDN w:val="0"/>
        <w:adjustRightInd w:val="0"/>
        <w:spacing w:after="120"/>
        <w:ind w:left="1276"/>
        <w:rPr>
          <w:sz w:val="22"/>
          <w:szCs w:val="22"/>
        </w:rPr>
      </w:pPr>
      <w:r>
        <w:rPr>
          <w:sz w:val="22"/>
          <w:highlight w:val="yellow"/>
        </w:rPr>
        <w:t>BIEN</w:t>
      </w:r>
    </w:p>
    <w:p w:rsidR="001050EE" w:rsidRPr="00E725FE" w:rsidRDefault="001050EE" w:rsidP="00E5391D">
      <w:pPr>
        <w:autoSpaceDE w:val="0"/>
        <w:autoSpaceDN w:val="0"/>
        <w:adjustRightInd w:val="0"/>
        <w:spacing w:after="120"/>
        <w:ind w:left="1276"/>
        <w:jc w:val="both"/>
        <w:rPr>
          <w:sz w:val="22"/>
          <w:szCs w:val="22"/>
        </w:rPr>
      </w:pPr>
      <w:r>
        <w:rPr>
          <w:sz w:val="22"/>
          <w:highlight w:val="lightGray"/>
        </w:rPr>
        <w:lastRenderedPageBreak/>
        <w:t xml:space="preserve">Las </w:t>
      </w:r>
      <w:r w:rsidR="00E63ABD">
        <w:rPr>
          <w:sz w:val="22"/>
          <w:highlight w:val="lightGray"/>
        </w:rPr>
        <w:t>controversias</w:t>
      </w:r>
      <w:r>
        <w:rPr>
          <w:sz w:val="22"/>
          <w:highlight w:val="lightGray"/>
        </w:rPr>
        <w:t xml:space="preserve"> que se deriven del presente </w:t>
      </w:r>
      <w:r w:rsidR="00B42C3E">
        <w:rPr>
          <w:sz w:val="22"/>
          <w:highlight w:val="lightGray"/>
        </w:rPr>
        <w:t>contrato</w:t>
      </w:r>
      <w:r>
        <w:rPr>
          <w:sz w:val="22"/>
          <w:highlight w:val="lightGray"/>
        </w:rPr>
        <w:t xml:space="preserve"> o que se planteen en relación con él y que no puedan </w:t>
      </w:r>
      <w:r w:rsidR="00E63ABD">
        <w:rPr>
          <w:sz w:val="22"/>
          <w:highlight w:val="lightGray"/>
        </w:rPr>
        <w:t>resolverse</w:t>
      </w:r>
      <w:r>
        <w:rPr>
          <w:sz w:val="22"/>
          <w:highlight w:val="lightGray"/>
        </w:rPr>
        <w:t xml:space="preserve"> de otro modo se someterán a la jurisdicción exclusiva de</w:t>
      </w:r>
      <w:r>
        <w:rPr>
          <w:sz w:val="22"/>
        </w:rPr>
        <w:t xml:space="preserve"> &lt;</w:t>
      </w:r>
      <w:r>
        <w:rPr>
          <w:sz w:val="22"/>
          <w:highlight w:val="yellow"/>
        </w:rPr>
        <w:t>indíquese</w:t>
      </w:r>
      <w:r>
        <w:rPr>
          <w:sz w:val="22"/>
        </w:rPr>
        <w:t xml:space="preserve">&gt; </w:t>
      </w:r>
      <w:r>
        <w:rPr>
          <w:sz w:val="22"/>
          <w:highlight w:val="lightGray"/>
        </w:rPr>
        <w:t>con arreglo a la legislación nacional del Estado del Órgano de Contratación</w:t>
      </w:r>
      <w:r>
        <w:rPr>
          <w:sz w:val="22"/>
        </w:rPr>
        <w:t>.</w:t>
      </w:r>
    </w:p>
    <w:p w:rsidR="001050EE" w:rsidRPr="00E725FE" w:rsidRDefault="001050EE" w:rsidP="00E5391D">
      <w:pPr>
        <w:autoSpaceDE w:val="0"/>
        <w:autoSpaceDN w:val="0"/>
        <w:adjustRightInd w:val="0"/>
        <w:spacing w:after="120"/>
        <w:ind w:left="1276"/>
        <w:rPr>
          <w:sz w:val="22"/>
          <w:szCs w:val="22"/>
        </w:rPr>
      </w:pPr>
      <w:r>
        <w:rPr>
          <w:sz w:val="22"/>
          <w:highlight w:val="yellow"/>
        </w:rPr>
        <w:t>O BIEN</w:t>
      </w:r>
    </w:p>
    <w:p w:rsidR="001050EE" w:rsidRPr="00E725FE" w:rsidRDefault="001050EE" w:rsidP="00E5391D">
      <w:pPr>
        <w:autoSpaceDE w:val="0"/>
        <w:autoSpaceDN w:val="0"/>
        <w:adjustRightInd w:val="0"/>
        <w:spacing w:after="120"/>
        <w:ind w:left="1276"/>
        <w:jc w:val="both"/>
        <w:rPr>
          <w:sz w:val="22"/>
          <w:szCs w:val="22"/>
        </w:rPr>
      </w:pPr>
      <w:r>
        <w:rPr>
          <w:sz w:val="22"/>
          <w:highlight w:val="lightGray"/>
        </w:rPr>
        <w:t xml:space="preserve">Las </w:t>
      </w:r>
      <w:r w:rsidR="00E63ABD">
        <w:rPr>
          <w:sz w:val="22"/>
          <w:highlight w:val="lightGray"/>
        </w:rPr>
        <w:t>controversias</w:t>
      </w:r>
      <w:r>
        <w:rPr>
          <w:sz w:val="22"/>
          <w:highlight w:val="lightGray"/>
        </w:rPr>
        <w:t xml:space="preserve"> que se deriven del presente </w:t>
      </w:r>
      <w:r w:rsidR="00B42C3E">
        <w:rPr>
          <w:sz w:val="22"/>
          <w:highlight w:val="lightGray"/>
        </w:rPr>
        <w:t>contrato</w:t>
      </w:r>
      <w:r>
        <w:rPr>
          <w:sz w:val="22"/>
          <w:highlight w:val="lightGray"/>
        </w:rPr>
        <w:t xml:space="preserve"> o que se planteen en relación con él y que no puedan </w:t>
      </w:r>
      <w:r w:rsidR="00E63ABD">
        <w:rPr>
          <w:sz w:val="22"/>
          <w:highlight w:val="lightGray"/>
        </w:rPr>
        <w:t>resolverse</w:t>
      </w:r>
      <w:r>
        <w:rPr>
          <w:sz w:val="22"/>
          <w:highlight w:val="lightGray"/>
        </w:rPr>
        <w:t xml:space="preserve"> de otro modo se someterán al arbitraje de </w:t>
      </w:r>
      <w:r>
        <w:rPr>
          <w:sz w:val="22"/>
          <w:highlight w:val="yellow"/>
        </w:rPr>
        <w:t>&lt;indíquese el órgano de arbitraje</w:t>
      </w:r>
      <w:r>
        <w:rPr>
          <w:sz w:val="22"/>
          <w:highlight w:val="lightGray"/>
        </w:rPr>
        <w:t>&gt; con arreglo a las normas de arbitraje de [la Cámara de Comercio Internacional</w:t>
      </w:r>
      <w:r w:rsidR="00C14018" w:rsidRPr="00C14018">
        <w:rPr>
          <w:sz w:val="22"/>
          <w:highlight w:val="lightGray"/>
        </w:rPr>
        <w:t>] [</w:t>
      </w:r>
      <w:r>
        <w:rPr>
          <w:sz w:val="22"/>
          <w:highlight w:val="lightGray"/>
        </w:rPr>
        <w:t>la Comisión de las Naciones Unidas para el Derecho Mercantil Internacional</w:t>
      </w:r>
      <w:r w:rsidR="00FB0C97" w:rsidRPr="00FB0C97">
        <w:rPr>
          <w:sz w:val="22"/>
          <w:highlight w:val="lightGray"/>
        </w:rPr>
        <w:t>]</w:t>
      </w:r>
      <w:r>
        <w:rPr>
          <w:sz w:val="22"/>
          <w:highlight w:val="lightGray"/>
        </w:rPr>
        <w:t xml:space="preserve"> </w:t>
      </w:r>
      <w:r w:rsidR="00C14018" w:rsidRPr="00C14018">
        <w:rPr>
          <w:sz w:val="22"/>
          <w:highlight w:val="lightGray"/>
        </w:rPr>
        <w:t>[&lt;</w:t>
      </w:r>
      <w:r>
        <w:rPr>
          <w:sz w:val="22"/>
          <w:highlight w:val="lightGray"/>
        </w:rPr>
        <w:t xml:space="preserve"> </w:t>
      </w:r>
      <w:r>
        <w:rPr>
          <w:sz w:val="22"/>
          <w:highlight w:val="yellow"/>
        </w:rPr>
        <w:t>otro procedimiento reconocido internacionalmente, especifíquese</w:t>
      </w:r>
      <w:r>
        <w:rPr>
          <w:sz w:val="22"/>
          <w:highlight w:val="lightGray"/>
        </w:rPr>
        <w:t xml:space="preserve"> &gt;</w:t>
      </w:r>
      <w:r>
        <w:rPr>
          <w:sz w:val="22"/>
        </w:rPr>
        <w:t>]]</w:t>
      </w:r>
      <w:r w:rsidR="00C14018">
        <w:rPr>
          <w:sz w:val="22"/>
        </w:rPr>
        <w:t>]</w:t>
      </w:r>
    </w:p>
    <w:p w:rsidR="001050EE" w:rsidRPr="00E725FE" w:rsidRDefault="001050EE" w:rsidP="00E5391D">
      <w:pPr>
        <w:autoSpaceDE w:val="0"/>
        <w:autoSpaceDN w:val="0"/>
        <w:adjustRightInd w:val="0"/>
        <w:spacing w:after="120"/>
        <w:ind w:left="1276"/>
        <w:jc w:val="both"/>
        <w:rPr>
          <w:sz w:val="22"/>
          <w:szCs w:val="22"/>
          <w:highlight w:val="magenta"/>
        </w:rPr>
      </w:pPr>
      <w:r>
        <w:rPr>
          <w:smallCaps/>
          <w:sz w:val="22"/>
        </w:rPr>
        <w:t>[</w:t>
      </w:r>
      <w:r>
        <w:rPr>
          <w:smallCaps/>
          <w:sz w:val="22"/>
          <w:highlight w:val="yellow"/>
        </w:rPr>
        <w:t>FED:</w:t>
      </w:r>
    </w:p>
    <w:p w:rsidR="001050EE" w:rsidRPr="00C4392E" w:rsidRDefault="001050EE" w:rsidP="00E5391D">
      <w:pPr>
        <w:autoSpaceDE w:val="0"/>
        <w:autoSpaceDN w:val="0"/>
        <w:adjustRightInd w:val="0"/>
        <w:spacing w:after="120"/>
        <w:ind w:left="1276"/>
        <w:jc w:val="both"/>
        <w:rPr>
          <w:sz w:val="22"/>
          <w:szCs w:val="22"/>
          <w:highlight w:val="lightGray"/>
        </w:rPr>
      </w:pPr>
      <w:r>
        <w:rPr>
          <w:sz w:val="22"/>
          <w:highlight w:val="lightGray"/>
        </w:rPr>
        <w:t xml:space="preserve">Las </w:t>
      </w:r>
      <w:r w:rsidR="00E63ABD">
        <w:rPr>
          <w:sz w:val="22"/>
          <w:highlight w:val="lightGray"/>
        </w:rPr>
        <w:t>controversias</w:t>
      </w:r>
      <w:r>
        <w:rPr>
          <w:sz w:val="22"/>
          <w:highlight w:val="lightGray"/>
        </w:rPr>
        <w:t xml:space="preserve"> que se deriven del presente </w:t>
      </w:r>
      <w:r w:rsidR="00B42C3E">
        <w:rPr>
          <w:sz w:val="22"/>
          <w:highlight w:val="lightGray"/>
        </w:rPr>
        <w:t>contrato</w:t>
      </w:r>
      <w:r>
        <w:rPr>
          <w:sz w:val="22"/>
          <w:highlight w:val="lightGray"/>
        </w:rPr>
        <w:t xml:space="preserve"> o que se planteen en relación con él y que no puedan </w:t>
      </w:r>
      <w:r w:rsidR="00E63ABD">
        <w:rPr>
          <w:sz w:val="22"/>
          <w:highlight w:val="lightGray"/>
        </w:rPr>
        <w:t>resolverse</w:t>
      </w:r>
      <w:r>
        <w:rPr>
          <w:sz w:val="22"/>
          <w:highlight w:val="lightGray"/>
        </w:rPr>
        <w:t xml:space="preserve"> de otro modo:</w:t>
      </w:r>
    </w:p>
    <w:p w:rsidR="001050EE" w:rsidRPr="00C4392E" w:rsidRDefault="001050EE" w:rsidP="00E5391D">
      <w:pPr>
        <w:autoSpaceDE w:val="0"/>
        <w:autoSpaceDN w:val="0"/>
        <w:adjustRightInd w:val="0"/>
        <w:spacing w:after="120"/>
        <w:ind w:left="1701" w:hanging="357"/>
        <w:jc w:val="both"/>
        <w:rPr>
          <w:sz w:val="22"/>
          <w:szCs w:val="22"/>
          <w:highlight w:val="lightGray"/>
        </w:rPr>
      </w:pPr>
      <w:r>
        <w:rPr>
          <w:sz w:val="22"/>
          <w:highlight w:val="lightGray"/>
        </w:rPr>
        <w:t>a)</w:t>
      </w:r>
      <w:r>
        <w:tab/>
      </w:r>
      <w:r>
        <w:rPr>
          <w:sz w:val="22"/>
          <w:highlight w:val="lightGray"/>
        </w:rPr>
        <w:t xml:space="preserve">en el caso de un </w:t>
      </w:r>
      <w:r w:rsidR="00B42C3E">
        <w:rPr>
          <w:sz w:val="22"/>
          <w:highlight w:val="lightGray"/>
        </w:rPr>
        <w:t>contrato</w:t>
      </w:r>
      <w:r>
        <w:rPr>
          <w:sz w:val="22"/>
          <w:highlight w:val="lightGray"/>
        </w:rPr>
        <w:t xml:space="preserve"> nacional, se resolverán con arreglo a la legislación interna del Estado del Órgano de Contratación; y</w:t>
      </w:r>
    </w:p>
    <w:p w:rsidR="001050EE" w:rsidRPr="00C4392E" w:rsidRDefault="001050EE" w:rsidP="00E5391D">
      <w:pPr>
        <w:autoSpaceDE w:val="0"/>
        <w:autoSpaceDN w:val="0"/>
        <w:adjustRightInd w:val="0"/>
        <w:spacing w:after="120"/>
        <w:ind w:left="1701" w:hanging="357"/>
        <w:jc w:val="both"/>
        <w:rPr>
          <w:sz w:val="22"/>
          <w:szCs w:val="22"/>
          <w:highlight w:val="lightGray"/>
        </w:rPr>
      </w:pPr>
      <w:r>
        <w:rPr>
          <w:sz w:val="22"/>
          <w:highlight w:val="lightGray"/>
        </w:rPr>
        <w:t>b)</w:t>
      </w:r>
      <w:r>
        <w:tab/>
      </w:r>
      <w:r>
        <w:rPr>
          <w:sz w:val="22"/>
          <w:highlight w:val="lightGray"/>
        </w:rPr>
        <w:t xml:space="preserve">en el caso de un </w:t>
      </w:r>
      <w:r w:rsidR="00B42C3E">
        <w:rPr>
          <w:sz w:val="22"/>
          <w:highlight w:val="lightGray"/>
        </w:rPr>
        <w:t>contrato</w:t>
      </w:r>
      <w:r>
        <w:rPr>
          <w:sz w:val="22"/>
          <w:highlight w:val="lightGray"/>
        </w:rPr>
        <w:t xml:space="preserve"> transnacional, se resolverán:</w:t>
      </w:r>
    </w:p>
    <w:p w:rsidR="001050EE" w:rsidRPr="00C4392E" w:rsidRDefault="001050EE" w:rsidP="00E5391D">
      <w:pPr>
        <w:autoSpaceDE w:val="0"/>
        <w:autoSpaceDN w:val="0"/>
        <w:adjustRightInd w:val="0"/>
        <w:spacing w:after="120"/>
        <w:ind w:left="2127" w:hanging="357"/>
        <w:jc w:val="both"/>
        <w:rPr>
          <w:sz w:val="22"/>
          <w:szCs w:val="22"/>
          <w:highlight w:val="lightGray"/>
        </w:rPr>
      </w:pPr>
      <w:r>
        <w:rPr>
          <w:sz w:val="22"/>
          <w:highlight w:val="lightGray"/>
        </w:rPr>
        <w:t>i)</w:t>
      </w:r>
      <w:r>
        <w:tab/>
      </w:r>
      <w:r>
        <w:rPr>
          <w:sz w:val="22"/>
          <w:highlight w:val="lightGray"/>
        </w:rPr>
        <w:t xml:space="preserve">si las partes en el </w:t>
      </w:r>
      <w:r w:rsidR="00B42C3E">
        <w:rPr>
          <w:sz w:val="22"/>
          <w:highlight w:val="lightGray"/>
        </w:rPr>
        <w:t>contrato</w:t>
      </w:r>
      <w:r>
        <w:rPr>
          <w:sz w:val="22"/>
          <w:highlight w:val="lightGray"/>
        </w:rPr>
        <w:t xml:space="preserve"> así lo acuerdan, de conformidad con lo dispuesto en la legislación interna del Estado del Órgano de Contratación o con arreglo a sus prácticas internacionales; bien</w:t>
      </w:r>
    </w:p>
    <w:p w:rsidR="00B8053F" w:rsidRDefault="001050EE" w:rsidP="00B8053F">
      <w:pPr>
        <w:autoSpaceDE w:val="0"/>
        <w:autoSpaceDN w:val="0"/>
        <w:adjustRightInd w:val="0"/>
        <w:ind w:left="2127" w:hanging="360"/>
        <w:jc w:val="both"/>
        <w:rPr>
          <w:sz w:val="22"/>
        </w:rPr>
      </w:pPr>
      <w:r>
        <w:rPr>
          <w:sz w:val="22"/>
          <w:highlight w:val="lightGray"/>
        </w:rPr>
        <w:t>ii)</w:t>
      </w:r>
      <w:r>
        <w:tab/>
      </w:r>
      <w:r>
        <w:rPr>
          <w:sz w:val="22"/>
          <w:highlight w:val="lightGray"/>
        </w:rPr>
        <w:t>mediante arbitraje, de acuerdo con las normas de procedimiento para la conciliación y el arbitraje de los contratos financiados por el Fondo Europeo de Desarrollo, adoptadas por la Decisión n</w:t>
      </w:r>
      <w:r w:rsidR="00E14B5C">
        <w:rPr>
          <w:sz w:val="22"/>
          <w:highlight w:val="lightGray"/>
        </w:rPr>
        <w:t>.</w:t>
      </w:r>
      <w:r>
        <w:rPr>
          <w:sz w:val="22"/>
          <w:highlight w:val="lightGray"/>
        </w:rPr>
        <w:t>º 3/90 del Consejo de Ministros ACP-CEE de 29 de marzo de 1990 (DO L 382 de 31.12.1990, anexo A12 de la Guía Práctica.</w:t>
      </w:r>
      <w:r>
        <w:rPr>
          <w:sz w:val="22"/>
        </w:rPr>
        <w:t>)</w:t>
      </w:r>
      <w:r>
        <w:rPr>
          <w:sz w:val="22"/>
          <w:highlight w:val="lightGray"/>
        </w:rPr>
        <w:t xml:space="preserve"> </w:t>
      </w:r>
      <w:r>
        <w:rPr>
          <w:sz w:val="22"/>
          <w:highlight w:val="yellow"/>
        </w:rPr>
        <w:t xml:space="preserve">&lt;Adjunte al presente </w:t>
      </w:r>
      <w:r w:rsidR="00B42C3E">
        <w:rPr>
          <w:sz w:val="22"/>
          <w:highlight w:val="yellow"/>
        </w:rPr>
        <w:t>contrato</w:t>
      </w:r>
      <w:r>
        <w:rPr>
          <w:sz w:val="22"/>
          <w:highlight w:val="yellow"/>
        </w:rPr>
        <w:t xml:space="preserve"> el anexo A12 de la Guía Práctica</w:t>
      </w:r>
      <w:r>
        <w:rPr>
          <w:sz w:val="22"/>
          <w:highlight w:val="lightGray"/>
        </w:rPr>
        <w:t>&gt;</w:t>
      </w:r>
      <w:r>
        <w:rPr>
          <w:sz w:val="22"/>
        </w:rPr>
        <w:t>)]</w:t>
      </w:r>
    </w:p>
    <w:p w:rsidR="00841438" w:rsidRDefault="00841438" w:rsidP="00B8053F">
      <w:pPr>
        <w:autoSpaceDE w:val="0"/>
        <w:autoSpaceDN w:val="0"/>
        <w:adjustRightInd w:val="0"/>
        <w:ind w:left="2127" w:hanging="360"/>
        <w:jc w:val="both"/>
        <w:rPr>
          <w:sz w:val="22"/>
          <w:szCs w:val="22"/>
        </w:rPr>
      </w:pPr>
    </w:p>
    <w:p w:rsidR="00F2670B" w:rsidRPr="00F2670B" w:rsidRDefault="00F2670B" w:rsidP="009879A6">
      <w:pPr>
        <w:autoSpaceDE w:val="0"/>
        <w:autoSpaceDN w:val="0"/>
        <w:adjustRightInd w:val="0"/>
        <w:jc w:val="both"/>
        <w:rPr>
          <w:sz w:val="22"/>
          <w:szCs w:val="22"/>
        </w:rPr>
      </w:pPr>
    </w:p>
    <w:p w:rsidR="004321C9" w:rsidRPr="00C14018" w:rsidRDefault="004321C9" w:rsidP="004321C9">
      <w:pPr>
        <w:keepNext/>
        <w:keepLines/>
        <w:tabs>
          <w:tab w:val="left" w:pos="1134"/>
        </w:tabs>
        <w:spacing w:before="240" w:after="120"/>
        <w:ind w:left="1134" w:hanging="1134"/>
        <w:rPr>
          <w:b/>
          <w:szCs w:val="24"/>
          <w:highlight w:val="lightGray"/>
        </w:rPr>
      </w:pPr>
      <w:r w:rsidRPr="00C14018">
        <w:rPr>
          <w:b/>
          <w:highlight w:val="lightGray"/>
        </w:rPr>
        <w:t>Cláusula 72</w:t>
      </w:r>
      <w:r w:rsidRPr="00C14018">
        <w:rPr>
          <w:highlight w:val="lightGray"/>
        </w:rPr>
        <w:tab/>
      </w:r>
      <w:r w:rsidRPr="00C14018">
        <w:rPr>
          <w:b/>
          <w:highlight w:val="lightGray"/>
        </w:rPr>
        <w:t>Protección de datos</w:t>
      </w:r>
    </w:p>
    <w:p w:rsidR="00F77C5C" w:rsidRPr="00F72647" w:rsidRDefault="00F77C5C" w:rsidP="009879A6">
      <w:pPr>
        <w:spacing w:after="120"/>
        <w:jc w:val="both"/>
        <w:rPr>
          <w:szCs w:val="24"/>
        </w:rPr>
      </w:pPr>
      <w:r w:rsidRPr="00F72647">
        <w:rPr>
          <w:szCs w:val="24"/>
        </w:rPr>
        <w:t>[</w:t>
      </w:r>
      <w:r>
        <w:rPr>
          <w:szCs w:val="24"/>
          <w:highlight w:val="yellow"/>
        </w:rPr>
        <w:t>P</w:t>
      </w:r>
      <w:r w:rsidRPr="00F72647">
        <w:rPr>
          <w:szCs w:val="24"/>
          <w:highlight w:val="yellow"/>
        </w:rPr>
        <w:t>ara la gestión indirecta, el texto del artículo 72 de las Condiciones Generales se sustituye por el texto</w:t>
      </w:r>
      <w:r w:rsidRPr="00F72647">
        <w:rPr>
          <w:szCs w:val="24"/>
        </w:rPr>
        <w:t xml:space="preserve"> </w:t>
      </w:r>
      <w:r w:rsidRPr="007A758D">
        <w:rPr>
          <w:szCs w:val="24"/>
          <w:highlight w:val="yellow"/>
        </w:rPr>
        <w:t>siguiente</w:t>
      </w:r>
      <w:r w:rsidRPr="00F72647">
        <w:t>]</w:t>
      </w:r>
    </w:p>
    <w:p w:rsidR="00F77C5C" w:rsidRPr="00F77C5C" w:rsidRDefault="00F77C5C" w:rsidP="00F77C5C">
      <w:pPr>
        <w:jc w:val="both"/>
        <w:rPr>
          <w:szCs w:val="24"/>
          <w:highlight w:val="lightGray"/>
        </w:rPr>
      </w:pPr>
      <w:r w:rsidRPr="00F72647">
        <w:rPr>
          <w:szCs w:val="24"/>
        </w:rPr>
        <w:t>[</w:t>
      </w:r>
      <w:r w:rsidRPr="00F77C5C">
        <w:rPr>
          <w:szCs w:val="24"/>
          <w:highlight w:val="lightGray"/>
        </w:rPr>
        <w:t>1. El tratamiento de datos personales en relación con la ejecución del contrato por parte del órgano de contratación tendrá lugar de conformidad con la legislación nacional del Estado del órgano de contratación y con las disposiciones del respectivo convenio de financiación.</w:t>
      </w:r>
    </w:p>
    <w:p w:rsidR="00F77C5C" w:rsidRPr="00F72647" w:rsidRDefault="00F77C5C" w:rsidP="009879A6">
      <w:pPr>
        <w:spacing w:before="120"/>
        <w:jc w:val="both"/>
        <w:rPr>
          <w:szCs w:val="24"/>
          <w:u w:val="single"/>
        </w:rPr>
      </w:pPr>
      <w:r w:rsidRPr="00F77C5C">
        <w:rPr>
          <w:szCs w:val="24"/>
          <w:highlight w:val="lightGray"/>
        </w:rPr>
        <w:t>2. En la medida en que el contrato cubra una acción financiada por la Unión Europea, el órgano de contratación podrá compartir las comunicaciones relacionadas con la ejecución del contrato con la Comisión Europea. Estos intercambios se realizarán a la Comisión, con el único fin de permitirle ejercer sus derechos y obligaciones con arreglo al marco legislativo aplicable y en virtud del convenio de financiación con el país socio — órgano de contratación. Los intercambios pueden consistir en transferencias de datos personales (por ejemplo, nombres, datos de contacto, firmas y CV) de las personas físicas que participan en la ejecución del contrato (tales como contratistas, personal, expertos, becarios, subcontratistas, aseguradores, garantes, auditores y asesores jurídicos). En los casos en que el contratista trate datos personales en el contexto de la ejecución del contrato, informará en consecuencia a los interesados acerca de la posible transmisión de sus datos a la Comisión. Cuando se transmitan datos personales a la Comisión, ésta los efectuará de conformidad con el Reglamento (UE) 2018/1725 del Parlamento Europeo y del Consejo, de 23 de octubre de 2018, relativo a la protección de las personas físicas en lo que respecta al tratamiento de datos personales por las instituciones, órganos y organismos de la Unión, y a la libre circulación de esos datos, y por el que se derogan el Reglamento (CE) n.° 45/2001 y la Decisión n.° 1247/2002/CE (Texto pertinente a efectos del EEE</w:t>
      </w:r>
      <w:r w:rsidR="00F54FC9">
        <w:rPr>
          <w:szCs w:val="24"/>
          <w:highlight w:val="lightGray"/>
        </w:rPr>
        <w:t xml:space="preserve">) </w:t>
      </w:r>
      <w:r w:rsidRPr="00F77C5C">
        <w:rPr>
          <w:szCs w:val="24"/>
          <w:highlight w:val="lightGray"/>
        </w:rPr>
        <w:t>y de acuerdo con la específica declaración de privacidad publicada en el ePRAG.</w:t>
      </w:r>
      <w:r w:rsidRPr="00060B74">
        <w:rPr>
          <w:szCs w:val="24"/>
        </w:rPr>
        <w:t>]</w:t>
      </w:r>
    </w:p>
    <w:p w:rsidR="00F77C5C" w:rsidRDefault="00F77C5C" w:rsidP="00116CA6">
      <w:pPr>
        <w:spacing w:before="240"/>
        <w:ind w:left="1276" w:hanging="1276"/>
        <w:jc w:val="both"/>
        <w:rPr>
          <w:b/>
        </w:rPr>
      </w:pPr>
      <w:r w:rsidRPr="00F77C5C" w:rsidDel="00F77C5C">
        <w:rPr>
          <w:sz w:val="22"/>
          <w:highlight w:val="lightGray"/>
        </w:rPr>
        <w:lastRenderedPageBreak/>
        <w:t xml:space="preserve"> </w:t>
      </w:r>
      <w:bookmarkStart w:id="40" w:name="_Toc76894456"/>
    </w:p>
    <w:p w:rsidR="001050EE" w:rsidRPr="00116CA6" w:rsidRDefault="001050EE" w:rsidP="00116CA6">
      <w:pPr>
        <w:spacing w:before="240"/>
        <w:ind w:left="1276" w:hanging="1276"/>
        <w:jc w:val="both"/>
        <w:rPr>
          <w:b/>
          <w:szCs w:val="24"/>
        </w:rPr>
      </w:pPr>
      <w:r>
        <w:rPr>
          <w:b/>
        </w:rPr>
        <w:t>Cláusula 73</w:t>
      </w:r>
      <w:r>
        <w:tab/>
      </w:r>
      <w:r w:rsidR="008133C4">
        <w:tab/>
      </w:r>
      <w:r>
        <w:rPr>
          <w:b/>
        </w:rPr>
        <w:t>Otras cláusulas adicionales</w:t>
      </w:r>
      <w:bookmarkEnd w:id="40"/>
    </w:p>
    <w:p w:rsidR="001050EE" w:rsidRDefault="001050EE" w:rsidP="00E5391D">
      <w:pPr>
        <w:spacing w:before="120" w:after="120"/>
        <w:jc w:val="both"/>
        <w:rPr>
          <w:sz w:val="22"/>
          <w:szCs w:val="22"/>
        </w:rPr>
      </w:pPr>
      <w:r>
        <w:rPr>
          <w:sz w:val="22"/>
        </w:rPr>
        <w:t>&lt;</w:t>
      </w:r>
      <w:r>
        <w:rPr>
          <w:sz w:val="22"/>
          <w:highlight w:val="yellow"/>
        </w:rPr>
        <w:t>Añádanse otras cláusulas aprobadas por los servicios competentes de la Comisión</w:t>
      </w:r>
      <w:r>
        <w:rPr>
          <w:sz w:val="22"/>
        </w:rPr>
        <w:t>.&gt;</w:t>
      </w:r>
    </w:p>
    <w:p w:rsidR="00E5391D" w:rsidRPr="00E725FE" w:rsidRDefault="00E5391D" w:rsidP="00E5391D">
      <w:pPr>
        <w:spacing w:before="360"/>
        <w:jc w:val="center"/>
        <w:rPr>
          <w:b/>
          <w:bCs/>
          <w:sz w:val="22"/>
          <w:szCs w:val="22"/>
        </w:rPr>
      </w:pPr>
      <w:r>
        <w:rPr>
          <w:sz w:val="22"/>
        </w:rPr>
        <w:t>* * *</w:t>
      </w:r>
    </w:p>
    <w:sectPr w:rsidR="00E5391D" w:rsidRPr="00E725FE" w:rsidSect="00B3283E">
      <w:headerReference w:type="even" r:id="rId20"/>
      <w:headerReference w:type="default" r:id="rId21"/>
      <w:footerReference w:type="even" r:id="rId22"/>
      <w:footerReference w:type="default" r:id="rId23"/>
      <w:headerReference w:type="first" r:id="rId24"/>
      <w:footerReference w:type="first" r:id="rId25"/>
      <w:pgSz w:w="11907" w:h="16840" w:code="9"/>
      <w:pgMar w:top="1298" w:right="1298" w:bottom="1077" w:left="1298" w:header="720" w:footer="720" w:gutter="0"/>
      <w:pgNumType w:start="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57EF" w:rsidRPr="00E725FE" w:rsidRDefault="00E957EF">
      <w:r w:rsidRPr="00E725FE">
        <w:separator/>
      </w:r>
    </w:p>
  </w:endnote>
  <w:endnote w:type="continuationSeparator" w:id="0">
    <w:p w:rsidR="00E957EF" w:rsidRPr="00E725FE" w:rsidRDefault="00E957EF">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Arial Unicode MS"/>
    <w:panose1 w:val="02020603050405020304"/>
    <w:charset w:val="00"/>
    <w:family w:val="roman"/>
    <w:pitch w:val="variable"/>
    <w:sig w:usb0="E0002A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altName w:val="Times New Roman"/>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w:altName w:val="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Optima">
    <w:altName w:val="Arial"/>
    <w:panose1 w:val="00000000000000000000"/>
    <w:charset w:val="00"/>
    <w:family w:val="swiss"/>
    <w:notTrueType/>
    <w:pitch w:val="variable"/>
    <w:sig w:usb0="00000003" w:usb1="00000000" w:usb2="00000000" w:usb3="00000000" w:csb0="00000001" w:csb1="00000000"/>
  </w:font>
  <w:font w:name="Calibri">
    <w:altName w:val="Century Gothic"/>
    <w:panose1 w:val="020F0502020204030204"/>
    <w:charset w:val="00"/>
    <w:family w:val="swiss"/>
    <w:pitch w:val="variable"/>
    <w:sig w:usb0="E0002AFF" w:usb1="4000ACFF" w:usb2="00000001" w:usb3="00000000" w:csb0="000001FF" w:csb1="00000000"/>
  </w:font>
  <w:font w:name="Cambria">
    <w:altName w:val="Palatino Linotype"/>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57EF" w:rsidRDefault="00E957E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E957EF" w:rsidRDefault="00E957E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6E3C" w:rsidRPr="00C057D3" w:rsidRDefault="00FE7032" w:rsidP="00EE6E3C">
    <w:pPr>
      <w:pStyle w:val="Footer"/>
      <w:tabs>
        <w:tab w:val="clear" w:pos="4320"/>
        <w:tab w:val="clear" w:pos="8640"/>
        <w:tab w:val="right" w:pos="8931"/>
      </w:tabs>
      <w:ind w:right="6"/>
      <w:rPr>
        <w:rStyle w:val="PageNumber"/>
        <w:sz w:val="18"/>
        <w:szCs w:val="18"/>
        <w:lang w:val="pt-PT"/>
      </w:rPr>
    </w:pPr>
    <w:r>
      <w:rPr>
        <w:b/>
        <w:sz w:val="18"/>
        <w:szCs w:val="18"/>
        <w:lang w:val="pt-PT"/>
      </w:rPr>
      <w:t>Julio 2019</w:t>
    </w:r>
    <w:r w:rsidR="00EE6E3C" w:rsidRPr="00C057D3">
      <w:rPr>
        <w:lang w:val="pt-PT"/>
      </w:rPr>
      <w:tab/>
    </w:r>
    <w:r w:rsidR="00EE6E3C" w:rsidRPr="00C057D3">
      <w:rPr>
        <w:rStyle w:val="PageNumber"/>
        <w:sz w:val="18"/>
        <w:lang w:val="pt-PT"/>
      </w:rPr>
      <w:t xml:space="preserve">Página </w:t>
    </w:r>
    <w:r w:rsidR="00EE6E3C" w:rsidRPr="009423FB">
      <w:rPr>
        <w:rStyle w:val="PageNumber"/>
        <w:sz w:val="18"/>
        <w:szCs w:val="18"/>
      </w:rPr>
      <w:fldChar w:fldCharType="begin"/>
    </w:r>
    <w:r w:rsidR="00EE6E3C" w:rsidRPr="00C057D3">
      <w:rPr>
        <w:rStyle w:val="PageNumber"/>
        <w:sz w:val="18"/>
        <w:szCs w:val="18"/>
        <w:lang w:val="pt-PT"/>
      </w:rPr>
      <w:instrText xml:space="preserve"> PAGE </w:instrText>
    </w:r>
    <w:r w:rsidR="00EE6E3C" w:rsidRPr="009423FB">
      <w:rPr>
        <w:rStyle w:val="PageNumber"/>
        <w:sz w:val="18"/>
        <w:szCs w:val="18"/>
      </w:rPr>
      <w:fldChar w:fldCharType="separate"/>
    </w:r>
    <w:r w:rsidR="009879A6">
      <w:rPr>
        <w:rStyle w:val="PageNumber"/>
        <w:noProof/>
        <w:sz w:val="18"/>
        <w:szCs w:val="18"/>
        <w:lang w:val="pt-PT"/>
      </w:rPr>
      <w:t>2</w:t>
    </w:r>
    <w:r w:rsidR="00EE6E3C" w:rsidRPr="009423FB">
      <w:rPr>
        <w:rStyle w:val="PageNumber"/>
        <w:sz w:val="18"/>
        <w:szCs w:val="18"/>
      </w:rPr>
      <w:fldChar w:fldCharType="end"/>
    </w:r>
    <w:r w:rsidR="00EE6E3C" w:rsidRPr="00C057D3">
      <w:rPr>
        <w:rStyle w:val="PageNumber"/>
        <w:sz w:val="18"/>
        <w:lang w:val="pt-PT"/>
      </w:rPr>
      <w:t xml:space="preserve"> de </w:t>
    </w:r>
    <w:r w:rsidR="00EE6E3C" w:rsidRPr="009423FB">
      <w:rPr>
        <w:rStyle w:val="PageNumber"/>
        <w:sz w:val="18"/>
        <w:szCs w:val="18"/>
      </w:rPr>
      <w:fldChar w:fldCharType="begin"/>
    </w:r>
    <w:r w:rsidR="00EE6E3C" w:rsidRPr="00C057D3">
      <w:rPr>
        <w:rStyle w:val="PageNumber"/>
        <w:sz w:val="18"/>
        <w:szCs w:val="18"/>
        <w:lang w:val="pt-PT"/>
      </w:rPr>
      <w:instrText xml:space="preserve"> NUMPAGES </w:instrText>
    </w:r>
    <w:r w:rsidR="00EE6E3C" w:rsidRPr="009423FB">
      <w:rPr>
        <w:rStyle w:val="PageNumber"/>
        <w:sz w:val="18"/>
        <w:szCs w:val="18"/>
      </w:rPr>
      <w:fldChar w:fldCharType="separate"/>
    </w:r>
    <w:r w:rsidR="009879A6">
      <w:rPr>
        <w:rStyle w:val="PageNumber"/>
        <w:noProof/>
        <w:sz w:val="18"/>
        <w:szCs w:val="18"/>
        <w:lang w:val="pt-PT"/>
      </w:rPr>
      <w:t>13</w:t>
    </w:r>
    <w:r w:rsidR="00EE6E3C" w:rsidRPr="009423FB">
      <w:rPr>
        <w:rStyle w:val="PageNumber"/>
        <w:sz w:val="18"/>
        <w:szCs w:val="18"/>
      </w:rPr>
      <w:fldChar w:fldCharType="end"/>
    </w:r>
  </w:p>
  <w:p w:rsidR="00E957EF" w:rsidRPr="00C057D3" w:rsidRDefault="00EE6E3C" w:rsidP="00EE6E3C">
    <w:pPr>
      <w:rPr>
        <w:sz w:val="18"/>
        <w:szCs w:val="18"/>
        <w:lang w:val="pt-PT"/>
      </w:rPr>
    </w:pPr>
    <w:r>
      <w:rPr>
        <w:sz w:val="18"/>
        <w:szCs w:val="18"/>
      </w:rPr>
      <w:fldChar w:fldCharType="begin"/>
    </w:r>
    <w:r w:rsidRPr="00C057D3">
      <w:rPr>
        <w:sz w:val="18"/>
        <w:szCs w:val="18"/>
        <w:lang w:val="pt-PT"/>
      </w:rPr>
      <w:instrText xml:space="preserve"> FILENAME </w:instrText>
    </w:r>
    <w:r>
      <w:rPr>
        <w:sz w:val="18"/>
        <w:szCs w:val="18"/>
      </w:rPr>
      <w:fldChar w:fldCharType="separate"/>
    </w:r>
    <w:r w:rsidRPr="00C057D3">
      <w:rPr>
        <w:noProof/>
        <w:sz w:val="18"/>
        <w:szCs w:val="18"/>
        <w:lang w:val="pt-PT"/>
      </w:rPr>
      <w:t>d4o_specialconditions_es.doc</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57EF" w:rsidRPr="00C057D3" w:rsidRDefault="00FE7032" w:rsidP="00C429FC">
    <w:pPr>
      <w:pStyle w:val="Footer"/>
      <w:tabs>
        <w:tab w:val="clear" w:pos="4320"/>
        <w:tab w:val="clear" w:pos="8640"/>
        <w:tab w:val="right" w:pos="8931"/>
      </w:tabs>
      <w:ind w:right="6"/>
      <w:rPr>
        <w:rStyle w:val="PageNumber"/>
        <w:sz w:val="18"/>
        <w:szCs w:val="18"/>
        <w:lang w:val="pt-PT"/>
      </w:rPr>
    </w:pPr>
    <w:r>
      <w:rPr>
        <w:b/>
        <w:sz w:val="18"/>
        <w:szCs w:val="18"/>
        <w:lang w:val="pt-PT"/>
      </w:rPr>
      <w:t>Julio 2019</w:t>
    </w:r>
    <w:r w:rsidR="00E957EF" w:rsidRPr="00C057D3">
      <w:rPr>
        <w:lang w:val="pt-PT"/>
      </w:rPr>
      <w:tab/>
    </w:r>
    <w:r w:rsidR="00E957EF" w:rsidRPr="00C057D3">
      <w:rPr>
        <w:rStyle w:val="PageNumber"/>
        <w:sz w:val="18"/>
        <w:lang w:val="pt-PT"/>
      </w:rPr>
      <w:t xml:space="preserve">Página </w:t>
    </w:r>
    <w:r w:rsidR="00E957EF" w:rsidRPr="009423FB">
      <w:rPr>
        <w:rStyle w:val="PageNumber"/>
        <w:sz w:val="18"/>
        <w:szCs w:val="18"/>
      </w:rPr>
      <w:fldChar w:fldCharType="begin"/>
    </w:r>
    <w:r w:rsidR="00E957EF" w:rsidRPr="00C057D3">
      <w:rPr>
        <w:rStyle w:val="PageNumber"/>
        <w:sz w:val="18"/>
        <w:szCs w:val="18"/>
        <w:lang w:val="pt-PT"/>
      </w:rPr>
      <w:instrText xml:space="preserve"> PAGE </w:instrText>
    </w:r>
    <w:r w:rsidR="00E957EF" w:rsidRPr="009423FB">
      <w:rPr>
        <w:rStyle w:val="PageNumber"/>
        <w:sz w:val="18"/>
        <w:szCs w:val="18"/>
      </w:rPr>
      <w:fldChar w:fldCharType="separate"/>
    </w:r>
    <w:r w:rsidR="009879A6">
      <w:rPr>
        <w:rStyle w:val="PageNumber"/>
        <w:noProof/>
        <w:sz w:val="18"/>
        <w:szCs w:val="18"/>
        <w:lang w:val="pt-PT"/>
      </w:rPr>
      <w:t>1</w:t>
    </w:r>
    <w:r w:rsidR="00E957EF" w:rsidRPr="009423FB">
      <w:rPr>
        <w:rStyle w:val="PageNumber"/>
        <w:sz w:val="18"/>
        <w:szCs w:val="18"/>
      </w:rPr>
      <w:fldChar w:fldCharType="end"/>
    </w:r>
    <w:r w:rsidR="00E957EF" w:rsidRPr="00C057D3">
      <w:rPr>
        <w:rStyle w:val="PageNumber"/>
        <w:sz w:val="18"/>
        <w:lang w:val="pt-PT"/>
      </w:rPr>
      <w:t xml:space="preserve"> de </w:t>
    </w:r>
    <w:r w:rsidR="00E957EF" w:rsidRPr="009423FB">
      <w:rPr>
        <w:rStyle w:val="PageNumber"/>
        <w:sz w:val="18"/>
        <w:szCs w:val="18"/>
      </w:rPr>
      <w:fldChar w:fldCharType="begin"/>
    </w:r>
    <w:r w:rsidR="00E957EF" w:rsidRPr="00C057D3">
      <w:rPr>
        <w:rStyle w:val="PageNumber"/>
        <w:sz w:val="18"/>
        <w:szCs w:val="18"/>
        <w:lang w:val="pt-PT"/>
      </w:rPr>
      <w:instrText xml:space="preserve"> NUMPAGES </w:instrText>
    </w:r>
    <w:r w:rsidR="00E957EF" w:rsidRPr="009423FB">
      <w:rPr>
        <w:rStyle w:val="PageNumber"/>
        <w:sz w:val="18"/>
        <w:szCs w:val="18"/>
      </w:rPr>
      <w:fldChar w:fldCharType="separate"/>
    </w:r>
    <w:r w:rsidR="009879A6">
      <w:rPr>
        <w:rStyle w:val="PageNumber"/>
        <w:noProof/>
        <w:sz w:val="18"/>
        <w:szCs w:val="18"/>
        <w:lang w:val="pt-PT"/>
      </w:rPr>
      <w:t>13</w:t>
    </w:r>
    <w:r w:rsidR="00E957EF" w:rsidRPr="009423FB">
      <w:rPr>
        <w:rStyle w:val="PageNumber"/>
        <w:sz w:val="18"/>
        <w:szCs w:val="18"/>
      </w:rPr>
      <w:fldChar w:fldCharType="end"/>
    </w:r>
  </w:p>
  <w:p w:rsidR="00E957EF" w:rsidRPr="00C057D3" w:rsidRDefault="00EE6E3C" w:rsidP="00C429FC">
    <w:pPr>
      <w:rPr>
        <w:sz w:val="18"/>
        <w:szCs w:val="18"/>
        <w:lang w:val="pt-PT"/>
      </w:rPr>
    </w:pPr>
    <w:r>
      <w:rPr>
        <w:sz w:val="18"/>
        <w:szCs w:val="18"/>
      </w:rPr>
      <w:fldChar w:fldCharType="begin"/>
    </w:r>
    <w:r w:rsidRPr="00C057D3">
      <w:rPr>
        <w:sz w:val="18"/>
        <w:szCs w:val="18"/>
        <w:lang w:val="pt-PT"/>
      </w:rPr>
      <w:instrText xml:space="preserve"> FILENAME </w:instrText>
    </w:r>
    <w:r>
      <w:rPr>
        <w:sz w:val="18"/>
        <w:szCs w:val="18"/>
      </w:rPr>
      <w:fldChar w:fldCharType="separate"/>
    </w:r>
    <w:r w:rsidRPr="00C057D3">
      <w:rPr>
        <w:noProof/>
        <w:sz w:val="18"/>
        <w:szCs w:val="18"/>
        <w:lang w:val="pt-PT"/>
      </w:rPr>
      <w:t>d4o_specialconditions_es.doc</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57EF" w:rsidRPr="00E725FE" w:rsidRDefault="00E957EF">
      <w:r w:rsidRPr="00E725FE">
        <w:separator/>
      </w:r>
    </w:p>
  </w:footnote>
  <w:footnote w:type="continuationSeparator" w:id="0">
    <w:p w:rsidR="00E957EF" w:rsidRPr="00E725FE" w:rsidRDefault="00E957EF">
      <w:r w:rsidRPr="00E725F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7032" w:rsidRDefault="00FE70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7032" w:rsidRDefault="00FE703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57EF" w:rsidRDefault="00E957EF" w:rsidP="0058294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879A6">
      <w:rPr>
        <w:rStyle w:val="PageNumber"/>
        <w:noProof/>
      </w:rPr>
      <w:t>1</w:t>
    </w:r>
    <w:r>
      <w:rPr>
        <w:rStyle w:val="PageNumber"/>
      </w:rPr>
      <w:fldChar w:fldCharType="end"/>
    </w:r>
  </w:p>
  <w:p w:rsidR="00E957EF" w:rsidRDefault="00E957EF"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175E47"/>
    <w:multiLevelType w:val="multilevel"/>
    <w:tmpl w:val="0DD4E7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2" w15:restartNumberingAfterBreak="0">
    <w:nsid w:val="1DB73598"/>
    <w:multiLevelType w:val="hybridMultilevel"/>
    <w:tmpl w:val="8070D0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34C77FEA"/>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5" w15:restartNumberingAfterBreak="0">
    <w:nsid w:val="369C4ED0"/>
    <w:multiLevelType w:val="multilevel"/>
    <w:tmpl w:val="8B605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7"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8" w15:restartNumberingAfterBreak="0">
    <w:nsid w:val="48FA728C"/>
    <w:multiLevelType w:val="hybridMultilevel"/>
    <w:tmpl w:val="7B6C56CA"/>
    <w:lvl w:ilvl="0" w:tplc="E06E9EA2">
      <w:start w:val="1"/>
      <w:numFmt w:val="bullet"/>
      <w:lvlText w:val=""/>
      <w:lvlJc w:val="left"/>
      <w:pPr>
        <w:ind w:left="1259" w:hanging="360"/>
      </w:pPr>
      <w:rPr>
        <w:rFonts w:ascii="Symbol" w:hAnsi="Symbol" w:hint="default"/>
      </w:rPr>
    </w:lvl>
    <w:lvl w:ilvl="1" w:tplc="08090003" w:tentative="1">
      <w:start w:val="1"/>
      <w:numFmt w:val="bullet"/>
      <w:lvlText w:val="o"/>
      <w:lvlJc w:val="left"/>
      <w:pPr>
        <w:ind w:left="1979" w:hanging="360"/>
      </w:pPr>
      <w:rPr>
        <w:rFonts w:ascii="Courier New" w:hAnsi="Courier New" w:cs="Courier New" w:hint="default"/>
      </w:rPr>
    </w:lvl>
    <w:lvl w:ilvl="2" w:tplc="08090005" w:tentative="1">
      <w:start w:val="1"/>
      <w:numFmt w:val="bullet"/>
      <w:lvlText w:val=""/>
      <w:lvlJc w:val="left"/>
      <w:pPr>
        <w:ind w:left="2699" w:hanging="360"/>
      </w:pPr>
      <w:rPr>
        <w:rFonts w:ascii="Wingdings" w:hAnsi="Wingdings" w:hint="default"/>
      </w:rPr>
    </w:lvl>
    <w:lvl w:ilvl="3" w:tplc="08090001" w:tentative="1">
      <w:start w:val="1"/>
      <w:numFmt w:val="bullet"/>
      <w:lvlText w:val=""/>
      <w:lvlJc w:val="left"/>
      <w:pPr>
        <w:ind w:left="3419" w:hanging="360"/>
      </w:pPr>
      <w:rPr>
        <w:rFonts w:ascii="Symbol" w:hAnsi="Symbol" w:hint="default"/>
      </w:rPr>
    </w:lvl>
    <w:lvl w:ilvl="4" w:tplc="08090003" w:tentative="1">
      <w:start w:val="1"/>
      <w:numFmt w:val="bullet"/>
      <w:lvlText w:val="o"/>
      <w:lvlJc w:val="left"/>
      <w:pPr>
        <w:ind w:left="4139" w:hanging="360"/>
      </w:pPr>
      <w:rPr>
        <w:rFonts w:ascii="Courier New" w:hAnsi="Courier New" w:cs="Courier New" w:hint="default"/>
      </w:rPr>
    </w:lvl>
    <w:lvl w:ilvl="5" w:tplc="08090005" w:tentative="1">
      <w:start w:val="1"/>
      <w:numFmt w:val="bullet"/>
      <w:lvlText w:val=""/>
      <w:lvlJc w:val="left"/>
      <w:pPr>
        <w:ind w:left="4859" w:hanging="360"/>
      </w:pPr>
      <w:rPr>
        <w:rFonts w:ascii="Wingdings" w:hAnsi="Wingdings" w:hint="default"/>
      </w:rPr>
    </w:lvl>
    <w:lvl w:ilvl="6" w:tplc="08090001" w:tentative="1">
      <w:start w:val="1"/>
      <w:numFmt w:val="bullet"/>
      <w:lvlText w:val=""/>
      <w:lvlJc w:val="left"/>
      <w:pPr>
        <w:ind w:left="5579" w:hanging="360"/>
      </w:pPr>
      <w:rPr>
        <w:rFonts w:ascii="Symbol" w:hAnsi="Symbol" w:hint="default"/>
      </w:rPr>
    </w:lvl>
    <w:lvl w:ilvl="7" w:tplc="08090003" w:tentative="1">
      <w:start w:val="1"/>
      <w:numFmt w:val="bullet"/>
      <w:lvlText w:val="o"/>
      <w:lvlJc w:val="left"/>
      <w:pPr>
        <w:ind w:left="6299" w:hanging="360"/>
      </w:pPr>
      <w:rPr>
        <w:rFonts w:ascii="Courier New" w:hAnsi="Courier New" w:cs="Courier New" w:hint="default"/>
      </w:rPr>
    </w:lvl>
    <w:lvl w:ilvl="8" w:tplc="08090005" w:tentative="1">
      <w:start w:val="1"/>
      <w:numFmt w:val="bullet"/>
      <w:lvlText w:val=""/>
      <w:lvlJc w:val="left"/>
      <w:pPr>
        <w:ind w:left="7019" w:hanging="360"/>
      </w:pPr>
      <w:rPr>
        <w:rFonts w:ascii="Wingdings" w:hAnsi="Wingdings" w:hint="default"/>
      </w:rPr>
    </w:lvl>
  </w:abstractNum>
  <w:abstractNum w:abstractNumId="9"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6B3652C5"/>
    <w:multiLevelType w:val="hybridMultilevel"/>
    <w:tmpl w:val="37261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F5A1B9D"/>
    <w:multiLevelType w:val="multilevel"/>
    <w:tmpl w:val="1FBA9D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1C2601E"/>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13"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6"/>
  </w:num>
  <w:num w:numId="3">
    <w:abstractNumId w:val="7"/>
  </w:num>
  <w:num w:numId="4">
    <w:abstractNumId w:val="1"/>
  </w:num>
  <w:num w:numId="5">
    <w:abstractNumId w:val="9"/>
    <w:lvlOverride w:ilvl="0">
      <w:startOverride w:val="1"/>
    </w:lvlOverride>
  </w:num>
  <w:num w:numId="6">
    <w:abstractNumId w:val="3"/>
  </w:num>
  <w:num w:numId="7">
    <w:abstractNumId w:val="8"/>
  </w:num>
  <w:num w:numId="8">
    <w:abstractNumId w:val="4"/>
  </w:num>
  <w:num w:numId="9">
    <w:abstractNumId w:val="2"/>
  </w:num>
  <w:num w:numId="10">
    <w:abstractNumId w:val="12"/>
  </w:num>
  <w:num w:numId="11">
    <w:abstractNumId w:val="10"/>
  </w:num>
  <w:num w:numId="12">
    <w:abstractNumId w:val="0"/>
  </w:num>
  <w:num w:numId="13">
    <w:abstractNumId w:val="5"/>
  </w:num>
  <w:num w:numId="14">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131078" w:nlCheck="1" w:checkStyle="1"/>
  <w:activeWritingStyle w:appName="MSWord" w:lang="en-US" w:vendorID="64" w:dllVersion="131078" w:nlCheck="1" w:checkStyle="1"/>
  <w:activeWritingStyle w:appName="MSWord" w:lang="fr-BE" w:vendorID="64" w:dllVersion="131078" w:nlCheck="1" w:checkStyle="1"/>
  <w:activeWritingStyle w:appName="MSWord" w:lang="fr-FR" w:vendorID="64" w:dllVersion="131078" w:nlCheck="1" w:checkStyle="1"/>
  <w:activeWritingStyle w:appName="MSWord" w:lang="es-ES" w:vendorID="64" w:dllVersion="131078" w:nlCheck="1" w:checkStyle="0"/>
  <w:activeWritingStyle w:appName="MSWord" w:lang="es-ES_tradnl" w:vendorID="64" w:dllVersion="131078" w:nlCheck="1" w:checkStyle="0"/>
  <w:activeWritingStyle w:appName="MSWord" w:lang="pt-PT"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0177"/>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5-EN-REV-00.DOC"/>
  </w:docVars>
  <w:rsids>
    <w:rsidRoot w:val="00AE38F8"/>
    <w:rsid w:val="00004B49"/>
    <w:rsid w:val="00006DF8"/>
    <w:rsid w:val="0001376A"/>
    <w:rsid w:val="00020A5B"/>
    <w:rsid w:val="00021EB3"/>
    <w:rsid w:val="00030A2D"/>
    <w:rsid w:val="00031E63"/>
    <w:rsid w:val="0003690E"/>
    <w:rsid w:val="00036A8A"/>
    <w:rsid w:val="0005004B"/>
    <w:rsid w:val="000534BE"/>
    <w:rsid w:val="00055A26"/>
    <w:rsid w:val="00057B00"/>
    <w:rsid w:val="00060C1E"/>
    <w:rsid w:val="00065189"/>
    <w:rsid w:val="000813E1"/>
    <w:rsid w:val="00091417"/>
    <w:rsid w:val="000A6A0E"/>
    <w:rsid w:val="000B16FC"/>
    <w:rsid w:val="000B190D"/>
    <w:rsid w:val="000C0C20"/>
    <w:rsid w:val="000C26EA"/>
    <w:rsid w:val="000C549B"/>
    <w:rsid w:val="000C5619"/>
    <w:rsid w:val="000C6752"/>
    <w:rsid w:val="000C7952"/>
    <w:rsid w:val="000D13E7"/>
    <w:rsid w:val="000D7C74"/>
    <w:rsid w:val="000E0648"/>
    <w:rsid w:val="000E537A"/>
    <w:rsid w:val="000F39C3"/>
    <w:rsid w:val="00101855"/>
    <w:rsid w:val="001050EE"/>
    <w:rsid w:val="00107540"/>
    <w:rsid w:val="00111B7A"/>
    <w:rsid w:val="00114F35"/>
    <w:rsid w:val="00116CA6"/>
    <w:rsid w:val="0011710F"/>
    <w:rsid w:val="0012355E"/>
    <w:rsid w:val="0016526B"/>
    <w:rsid w:val="00165A9F"/>
    <w:rsid w:val="0017313B"/>
    <w:rsid w:val="00173310"/>
    <w:rsid w:val="00186095"/>
    <w:rsid w:val="00196F72"/>
    <w:rsid w:val="001978EF"/>
    <w:rsid w:val="001A4E4A"/>
    <w:rsid w:val="001A72CD"/>
    <w:rsid w:val="001B31E6"/>
    <w:rsid w:val="001C1D2A"/>
    <w:rsid w:val="001C36AC"/>
    <w:rsid w:val="001D660A"/>
    <w:rsid w:val="001E440F"/>
    <w:rsid w:val="00203C42"/>
    <w:rsid w:val="00203E27"/>
    <w:rsid w:val="00205125"/>
    <w:rsid w:val="00205F35"/>
    <w:rsid w:val="002079A9"/>
    <w:rsid w:val="00212360"/>
    <w:rsid w:val="00212E05"/>
    <w:rsid w:val="0021368F"/>
    <w:rsid w:val="00216A9C"/>
    <w:rsid w:val="002172D1"/>
    <w:rsid w:val="002223C1"/>
    <w:rsid w:val="00231CC5"/>
    <w:rsid w:val="0024466C"/>
    <w:rsid w:val="002475C4"/>
    <w:rsid w:val="00247FEF"/>
    <w:rsid w:val="00252888"/>
    <w:rsid w:val="00253B57"/>
    <w:rsid w:val="00256EE1"/>
    <w:rsid w:val="00270B92"/>
    <w:rsid w:val="00286A23"/>
    <w:rsid w:val="00295092"/>
    <w:rsid w:val="002B13F4"/>
    <w:rsid w:val="002C30FD"/>
    <w:rsid w:val="002C4845"/>
    <w:rsid w:val="002D0A12"/>
    <w:rsid w:val="002D0B03"/>
    <w:rsid w:val="002D294D"/>
    <w:rsid w:val="002D2BD5"/>
    <w:rsid w:val="002D7495"/>
    <w:rsid w:val="002D75A2"/>
    <w:rsid w:val="002F6D2E"/>
    <w:rsid w:val="00301DE9"/>
    <w:rsid w:val="00305FF9"/>
    <w:rsid w:val="003111D9"/>
    <w:rsid w:val="00311D2D"/>
    <w:rsid w:val="003308BB"/>
    <w:rsid w:val="0033332D"/>
    <w:rsid w:val="00333ED7"/>
    <w:rsid w:val="00340C6C"/>
    <w:rsid w:val="00346E32"/>
    <w:rsid w:val="003521FE"/>
    <w:rsid w:val="00356B1D"/>
    <w:rsid w:val="00362638"/>
    <w:rsid w:val="00363B97"/>
    <w:rsid w:val="003721D9"/>
    <w:rsid w:val="00382FE0"/>
    <w:rsid w:val="00392541"/>
    <w:rsid w:val="00394BBB"/>
    <w:rsid w:val="00395502"/>
    <w:rsid w:val="003A2536"/>
    <w:rsid w:val="003A358D"/>
    <w:rsid w:val="003A77FA"/>
    <w:rsid w:val="003B5C5A"/>
    <w:rsid w:val="003C07AB"/>
    <w:rsid w:val="003C1679"/>
    <w:rsid w:val="003C2000"/>
    <w:rsid w:val="003C60D0"/>
    <w:rsid w:val="003D2B40"/>
    <w:rsid w:val="003D3100"/>
    <w:rsid w:val="003D436F"/>
    <w:rsid w:val="003D764D"/>
    <w:rsid w:val="003D795D"/>
    <w:rsid w:val="003E596D"/>
    <w:rsid w:val="003F005A"/>
    <w:rsid w:val="00401C44"/>
    <w:rsid w:val="00403C36"/>
    <w:rsid w:val="00407129"/>
    <w:rsid w:val="00407C73"/>
    <w:rsid w:val="004112D4"/>
    <w:rsid w:val="00414B1C"/>
    <w:rsid w:val="0042065C"/>
    <w:rsid w:val="004305FD"/>
    <w:rsid w:val="004321C9"/>
    <w:rsid w:val="004350B6"/>
    <w:rsid w:val="00441407"/>
    <w:rsid w:val="00443948"/>
    <w:rsid w:val="00444CC8"/>
    <w:rsid w:val="0044751C"/>
    <w:rsid w:val="004514CD"/>
    <w:rsid w:val="004543B0"/>
    <w:rsid w:val="0045724E"/>
    <w:rsid w:val="00462214"/>
    <w:rsid w:val="00465174"/>
    <w:rsid w:val="004670EF"/>
    <w:rsid w:val="004715EC"/>
    <w:rsid w:val="004750B6"/>
    <w:rsid w:val="004805F2"/>
    <w:rsid w:val="00480E3B"/>
    <w:rsid w:val="004842DD"/>
    <w:rsid w:val="00485048"/>
    <w:rsid w:val="0048680A"/>
    <w:rsid w:val="0049139F"/>
    <w:rsid w:val="00494A0D"/>
    <w:rsid w:val="004B33AB"/>
    <w:rsid w:val="004B660B"/>
    <w:rsid w:val="004C192E"/>
    <w:rsid w:val="004D61E0"/>
    <w:rsid w:val="004D6FB2"/>
    <w:rsid w:val="004E3C59"/>
    <w:rsid w:val="004E52DB"/>
    <w:rsid w:val="004F3026"/>
    <w:rsid w:val="004F5CBC"/>
    <w:rsid w:val="004F7629"/>
    <w:rsid w:val="0051365E"/>
    <w:rsid w:val="005271DB"/>
    <w:rsid w:val="00527F31"/>
    <w:rsid w:val="00531D81"/>
    <w:rsid w:val="005346CE"/>
    <w:rsid w:val="005411B0"/>
    <w:rsid w:val="00543710"/>
    <w:rsid w:val="00544044"/>
    <w:rsid w:val="005445DB"/>
    <w:rsid w:val="00546410"/>
    <w:rsid w:val="005478E4"/>
    <w:rsid w:val="005522DF"/>
    <w:rsid w:val="00553F9E"/>
    <w:rsid w:val="005570BC"/>
    <w:rsid w:val="005625FF"/>
    <w:rsid w:val="005637E1"/>
    <w:rsid w:val="00567851"/>
    <w:rsid w:val="005678C2"/>
    <w:rsid w:val="005705A7"/>
    <w:rsid w:val="0057272D"/>
    <w:rsid w:val="0057733F"/>
    <w:rsid w:val="0057760F"/>
    <w:rsid w:val="005803EF"/>
    <w:rsid w:val="00582940"/>
    <w:rsid w:val="0058307D"/>
    <w:rsid w:val="00583671"/>
    <w:rsid w:val="00586A41"/>
    <w:rsid w:val="00587FF6"/>
    <w:rsid w:val="00591722"/>
    <w:rsid w:val="0059510B"/>
    <w:rsid w:val="00596E41"/>
    <w:rsid w:val="005A3B22"/>
    <w:rsid w:val="005B0B44"/>
    <w:rsid w:val="005B4F79"/>
    <w:rsid w:val="005B5F79"/>
    <w:rsid w:val="005C4F2D"/>
    <w:rsid w:val="005C742C"/>
    <w:rsid w:val="005D4099"/>
    <w:rsid w:val="005D499E"/>
    <w:rsid w:val="005D5879"/>
    <w:rsid w:val="005D6248"/>
    <w:rsid w:val="005E22D4"/>
    <w:rsid w:val="005E355B"/>
    <w:rsid w:val="00612248"/>
    <w:rsid w:val="006218C2"/>
    <w:rsid w:val="00622351"/>
    <w:rsid w:val="00622857"/>
    <w:rsid w:val="00624333"/>
    <w:rsid w:val="006250B5"/>
    <w:rsid w:val="006316A2"/>
    <w:rsid w:val="0063320F"/>
    <w:rsid w:val="00634896"/>
    <w:rsid w:val="00641155"/>
    <w:rsid w:val="006517D2"/>
    <w:rsid w:val="006610EB"/>
    <w:rsid w:val="00664730"/>
    <w:rsid w:val="00665AD5"/>
    <w:rsid w:val="00670009"/>
    <w:rsid w:val="00673D8C"/>
    <w:rsid w:val="00674750"/>
    <w:rsid w:val="00675D7D"/>
    <w:rsid w:val="0068098D"/>
    <w:rsid w:val="0068234B"/>
    <w:rsid w:val="006872CB"/>
    <w:rsid w:val="00690A0E"/>
    <w:rsid w:val="006934C9"/>
    <w:rsid w:val="006A4779"/>
    <w:rsid w:val="006B60CC"/>
    <w:rsid w:val="006C4752"/>
    <w:rsid w:val="006D36DD"/>
    <w:rsid w:val="006D7273"/>
    <w:rsid w:val="006D7D6D"/>
    <w:rsid w:val="006E5990"/>
    <w:rsid w:val="006E5C6D"/>
    <w:rsid w:val="006E6032"/>
    <w:rsid w:val="006F17D2"/>
    <w:rsid w:val="006F1994"/>
    <w:rsid w:val="006F1A1B"/>
    <w:rsid w:val="006F60DB"/>
    <w:rsid w:val="006F79B1"/>
    <w:rsid w:val="00707EB9"/>
    <w:rsid w:val="00707EBF"/>
    <w:rsid w:val="00711F0C"/>
    <w:rsid w:val="0071615E"/>
    <w:rsid w:val="007172B0"/>
    <w:rsid w:val="007300FC"/>
    <w:rsid w:val="00736F79"/>
    <w:rsid w:val="00740350"/>
    <w:rsid w:val="00741C18"/>
    <w:rsid w:val="00742A44"/>
    <w:rsid w:val="00745CC9"/>
    <w:rsid w:val="0074647C"/>
    <w:rsid w:val="007466E1"/>
    <w:rsid w:val="00746AD0"/>
    <w:rsid w:val="00746BFC"/>
    <w:rsid w:val="00750718"/>
    <w:rsid w:val="00754C31"/>
    <w:rsid w:val="00761068"/>
    <w:rsid w:val="007731CA"/>
    <w:rsid w:val="0077598E"/>
    <w:rsid w:val="00780E05"/>
    <w:rsid w:val="00785513"/>
    <w:rsid w:val="00793EB5"/>
    <w:rsid w:val="00795633"/>
    <w:rsid w:val="007A04CD"/>
    <w:rsid w:val="007A1685"/>
    <w:rsid w:val="007A16ED"/>
    <w:rsid w:val="007A3985"/>
    <w:rsid w:val="007A418C"/>
    <w:rsid w:val="007A5020"/>
    <w:rsid w:val="007B00C5"/>
    <w:rsid w:val="007C1642"/>
    <w:rsid w:val="007D5114"/>
    <w:rsid w:val="007D6CD0"/>
    <w:rsid w:val="007D732B"/>
    <w:rsid w:val="007E33CF"/>
    <w:rsid w:val="007E34D8"/>
    <w:rsid w:val="007E5556"/>
    <w:rsid w:val="007E7F01"/>
    <w:rsid w:val="007F037F"/>
    <w:rsid w:val="007F1907"/>
    <w:rsid w:val="00801551"/>
    <w:rsid w:val="0080253E"/>
    <w:rsid w:val="008029EA"/>
    <w:rsid w:val="00806AB3"/>
    <w:rsid w:val="0081151F"/>
    <w:rsid w:val="008133C4"/>
    <w:rsid w:val="00817365"/>
    <w:rsid w:val="00822BE8"/>
    <w:rsid w:val="00825FF4"/>
    <w:rsid w:val="00830A6F"/>
    <w:rsid w:val="008338B0"/>
    <w:rsid w:val="0083431D"/>
    <w:rsid w:val="00841438"/>
    <w:rsid w:val="00851D16"/>
    <w:rsid w:val="0085750B"/>
    <w:rsid w:val="00857577"/>
    <w:rsid w:val="0085796F"/>
    <w:rsid w:val="00865463"/>
    <w:rsid w:val="00866754"/>
    <w:rsid w:val="0086700B"/>
    <w:rsid w:val="00871126"/>
    <w:rsid w:val="0087152F"/>
    <w:rsid w:val="008733EA"/>
    <w:rsid w:val="00880541"/>
    <w:rsid w:val="008824C1"/>
    <w:rsid w:val="00884D78"/>
    <w:rsid w:val="0089009D"/>
    <w:rsid w:val="008A24D8"/>
    <w:rsid w:val="008A27FD"/>
    <w:rsid w:val="008A3E96"/>
    <w:rsid w:val="008B08DF"/>
    <w:rsid w:val="008B2A73"/>
    <w:rsid w:val="008B623E"/>
    <w:rsid w:val="008B7FF3"/>
    <w:rsid w:val="008C3721"/>
    <w:rsid w:val="008E128B"/>
    <w:rsid w:val="008E4B88"/>
    <w:rsid w:val="008E71FD"/>
    <w:rsid w:val="008E7B76"/>
    <w:rsid w:val="008F0486"/>
    <w:rsid w:val="008F168A"/>
    <w:rsid w:val="008F251C"/>
    <w:rsid w:val="008F4E9F"/>
    <w:rsid w:val="008F5DE9"/>
    <w:rsid w:val="00902E86"/>
    <w:rsid w:val="00903900"/>
    <w:rsid w:val="00910313"/>
    <w:rsid w:val="00911810"/>
    <w:rsid w:val="009147A6"/>
    <w:rsid w:val="00915404"/>
    <w:rsid w:val="009154A6"/>
    <w:rsid w:val="009159C2"/>
    <w:rsid w:val="009170D9"/>
    <w:rsid w:val="009249CD"/>
    <w:rsid w:val="009455FD"/>
    <w:rsid w:val="0094728C"/>
    <w:rsid w:val="009639E9"/>
    <w:rsid w:val="00966028"/>
    <w:rsid w:val="009706F3"/>
    <w:rsid w:val="00974535"/>
    <w:rsid w:val="00986734"/>
    <w:rsid w:val="009879A6"/>
    <w:rsid w:val="00990012"/>
    <w:rsid w:val="009A4E95"/>
    <w:rsid w:val="009B2EFD"/>
    <w:rsid w:val="009B571E"/>
    <w:rsid w:val="009C3AAE"/>
    <w:rsid w:val="009D4610"/>
    <w:rsid w:val="009D684F"/>
    <w:rsid w:val="009E1E02"/>
    <w:rsid w:val="009E24C9"/>
    <w:rsid w:val="009E3D4D"/>
    <w:rsid w:val="009F56B6"/>
    <w:rsid w:val="009F648D"/>
    <w:rsid w:val="00A057C7"/>
    <w:rsid w:val="00A0682C"/>
    <w:rsid w:val="00A10BB1"/>
    <w:rsid w:val="00A11047"/>
    <w:rsid w:val="00A113E2"/>
    <w:rsid w:val="00A12DBD"/>
    <w:rsid w:val="00A16985"/>
    <w:rsid w:val="00A2031F"/>
    <w:rsid w:val="00A20E4D"/>
    <w:rsid w:val="00A4124B"/>
    <w:rsid w:val="00A42A7F"/>
    <w:rsid w:val="00A5429D"/>
    <w:rsid w:val="00A6752B"/>
    <w:rsid w:val="00A76A96"/>
    <w:rsid w:val="00A77ECC"/>
    <w:rsid w:val="00A81065"/>
    <w:rsid w:val="00A8166C"/>
    <w:rsid w:val="00A96863"/>
    <w:rsid w:val="00AA1F74"/>
    <w:rsid w:val="00AA515C"/>
    <w:rsid w:val="00AC5EC2"/>
    <w:rsid w:val="00AD2105"/>
    <w:rsid w:val="00AE38F8"/>
    <w:rsid w:val="00AE4BF8"/>
    <w:rsid w:val="00AF0195"/>
    <w:rsid w:val="00AF1588"/>
    <w:rsid w:val="00B078C7"/>
    <w:rsid w:val="00B11FAE"/>
    <w:rsid w:val="00B150F8"/>
    <w:rsid w:val="00B25087"/>
    <w:rsid w:val="00B3283E"/>
    <w:rsid w:val="00B36FB5"/>
    <w:rsid w:val="00B42C3E"/>
    <w:rsid w:val="00B45527"/>
    <w:rsid w:val="00B460D5"/>
    <w:rsid w:val="00B47A2A"/>
    <w:rsid w:val="00B52E82"/>
    <w:rsid w:val="00B67B6F"/>
    <w:rsid w:val="00B718F4"/>
    <w:rsid w:val="00B72739"/>
    <w:rsid w:val="00B7615B"/>
    <w:rsid w:val="00B8053F"/>
    <w:rsid w:val="00B849B8"/>
    <w:rsid w:val="00B85DA8"/>
    <w:rsid w:val="00B92E4B"/>
    <w:rsid w:val="00B93A84"/>
    <w:rsid w:val="00B97782"/>
    <w:rsid w:val="00BA75CB"/>
    <w:rsid w:val="00BB1837"/>
    <w:rsid w:val="00BB1BBF"/>
    <w:rsid w:val="00BB31D8"/>
    <w:rsid w:val="00BB6C02"/>
    <w:rsid w:val="00BB7241"/>
    <w:rsid w:val="00BC2F85"/>
    <w:rsid w:val="00BC7418"/>
    <w:rsid w:val="00BC7DAF"/>
    <w:rsid w:val="00BD2F7D"/>
    <w:rsid w:val="00BD3FCB"/>
    <w:rsid w:val="00BD7E6E"/>
    <w:rsid w:val="00BE1859"/>
    <w:rsid w:val="00BE7A65"/>
    <w:rsid w:val="00BF0782"/>
    <w:rsid w:val="00BF1706"/>
    <w:rsid w:val="00BF2DEB"/>
    <w:rsid w:val="00BF38B4"/>
    <w:rsid w:val="00BF4853"/>
    <w:rsid w:val="00BF78C9"/>
    <w:rsid w:val="00BF7A44"/>
    <w:rsid w:val="00C03D9E"/>
    <w:rsid w:val="00C057D3"/>
    <w:rsid w:val="00C05B9A"/>
    <w:rsid w:val="00C14018"/>
    <w:rsid w:val="00C17B19"/>
    <w:rsid w:val="00C20225"/>
    <w:rsid w:val="00C202A0"/>
    <w:rsid w:val="00C20DBA"/>
    <w:rsid w:val="00C246F4"/>
    <w:rsid w:val="00C261B3"/>
    <w:rsid w:val="00C3331B"/>
    <w:rsid w:val="00C363EE"/>
    <w:rsid w:val="00C367A9"/>
    <w:rsid w:val="00C42020"/>
    <w:rsid w:val="00C429FC"/>
    <w:rsid w:val="00C4392E"/>
    <w:rsid w:val="00C4498B"/>
    <w:rsid w:val="00C44D28"/>
    <w:rsid w:val="00C50657"/>
    <w:rsid w:val="00C55CFE"/>
    <w:rsid w:val="00C664A9"/>
    <w:rsid w:val="00C678BA"/>
    <w:rsid w:val="00C73DF5"/>
    <w:rsid w:val="00C74716"/>
    <w:rsid w:val="00C76D89"/>
    <w:rsid w:val="00C83ABE"/>
    <w:rsid w:val="00C85327"/>
    <w:rsid w:val="00C91D72"/>
    <w:rsid w:val="00C9403E"/>
    <w:rsid w:val="00C96DE9"/>
    <w:rsid w:val="00C97314"/>
    <w:rsid w:val="00C97E2D"/>
    <w:rsid w:val="00CA2F80"/>
    <w:rsid w:val="00CA2FCC"/>
    <w:rsid w:val="00CB0002"/>
    <w:rsid w:val="00CB54F7"/>
    <w:rsid w:val="00CB5AEA"/>
    <w:rsid w:val="00CC24E6"/>
    <w:rsid w:val="00CC2D33"/>
    <w:rsid w:val="00CC74DB"/>
    <w:rsid w:val="00CD0A21"/>
    <w:rsid w:val="00CD2624"/>
    <w:rsid w:val="00CD6A68"/>
    <w:rsid w:val="00CE4A2D"/>
    <w:rsid w:val="00CE71E4"/>
    <w:rsid w:val="00CF24DE"/>
    <w:rsid w:val="00CF3F1F"/>
    <w:rsid w:val="00CF7557"/>
    <w:rsid w:val="00D04DC8"/>
    <w:rsid w:val="00D12BF3"/>
    <w:rsid w:val="00D3197A"/>
    <w:rsid w:val="00D31A1E"/>
    <w:rsid w:val="00D33329"/>
    <w:rsid w:val="00D345EC"/>
    <w:rsid w:val="00D45870"/>
    <w:rsid w:val="00D57736"/>
    <w:rsid w:val="00D60BA1"/>
    <w:rsid w:val="00D61604"/>
    <w:rsid w:val="00D63EA6"/>
    <w:rsid w:val="00D6746E"/>
    <w:rsid w:val="00D86FD3"/>
    <w:rsid w:val="00D907F8"/>
    <w:rsid w:val="00D9227E"/>
    <w:rsid w:val="00D943D4"/>
    <w:rsid w:val="00DA2348"/>
    <w:rsid w:val="00DA616A"/>
    <w:rsid w:val="00DB2F80"/>
    <w:rsid w:val="00DB51CA"/>
    <w:rsid w:val="00DB787F"/>
    <w:rsid w:val="00DB7E68"/>
    <w:rsid w:val="00DC1AF8"/>
    <w:rsid w:val="00DC3D45"/>
    <w:rsid w:val="00DC3EAE"/>
    <w:rsid w:val="00DD0434"/>
    <w:rsid w:val="00DD6FE0"/>
    <w:rsid w:val="00DE0B72"/>
    <w:rsid w:val="00DE5838"/>
    <w:rsid w:val="00DF3894"/>
    <w:rsid w:val="00DF4416"/>
    <w:rsid w:val="00DF54C7"/>
    <w:rsid w:val="00DF5742"/>
    <w:rsid w:val="00E01657"/>
    <w:rsid w:val="00E06F05"/>
    <w:rsid w:val="00E10D0D"/>
    <w:rsid w:val="00E11172"/>
    <w:rsid w:val="00E12E18"/>
    <w:rsid w:val="00E142EC"/>
    <w:rsid w:val="00E14B5C"/>
    <w:rsid w:val="00E246FA"/>
    <w:rsid w:val="00E24C7B"/>
    <w:rsid w:val="00E34CF3"/>
    <w:rsid w:val="00E40327"/>
    <w:rsid w:val="00E5391D"/>
    <w:rsid w:val="00E61684"/>
    <w:rsid w:val="00E63ABD"/>
    <w:rsid w:val="00E672FA"/>
    <w:rsid w:val="00E67489"/>
    <w:rsid w:val="00E725FE"/>
    <w:rsid w:val="00E72F15"/>
    <w:rsid w:val="00E75A03"/>
    <w:rsid w:val="00E80441"/>
    <w:rsid w:val="00E83124"/>
    <w:rsid w:val="00E957EF"/>
    <w:rsid w:val="00E95D40"/>
    <w:rsid w:val="00EA7009"/>
    <w:rsid w:val="00EA756F"/>
    <w:rsid w:val="00EB5A45"/>
    <w:rsid w:val="00EB5D04"/>
    <w:rsid w:val="00EB732C"/>
    <w:rsid w:val="00EB740F"/>
    <w:rsid w:val="00EC0A31"/>
    <w:rsid w:val="00EC0DA0"/>
    <w:rsid w:val="00ED1626"/>
    <w:rsid w:val="00ED3D74"/>
    <w:rsid w:val="00ED7BD7"/>
    <w:rsid w:val="00EE1B77"/>
    <w:rsid w:val="00EE24B3"/>
    <w:rsid w:val="00EE3905"/>
    <w:rsid w:val="00EE6E3C"/>
    <w:rsid w:val="00EE73C2"/>
    <w:rsid w:val="00EE7779"/>
    <w:rsid w:val="00EF0070"/>
    <w:rsid w:val="00EF22D0"/>
    <w:rsid w:val="00EF3BD8"/>
    <w:rsid w:val="00EF4FC3"/>
    <w:rsid w:val="00F04815"/>
    <w:rsid w:val="00F04CE7"/>
    <w:rsid w:val="00F04F3B"/>
    <w:rsid w:val="00F13755"/>
    <w:rsid w:val="00F25C13"/>
    <w:rsid w:val="00F2670B"/>
    <w:rsid w:val="00F3054C"/>
    <w:rsid w:val="00F54BC5"/>
    <w:rsid w:val="00F54C76"/>
    <w:rsid w:val="00F54FC9"/>
    <w:rsid w:val="00F70558"/>
    <w:rsid w:val="00F77C5C"/>
    <w:rsid w:val="00F8386F"/>
    <w:rsid w:val="00F85039"/>
    <w:rsid w:val="00F8572E"/>
    <w:rsid w:val="00F866AA"/>
    <w:rsid w:val="00F9163A"/>
    <w:rsid w:val="00F9199C"/>
    <w:rsid w:val="00F96B09"/>
    <w:rsid w:val="00FA09A8"/>
    <w:rsid w:val="00FA10D2"/>
    <w:rsid w:val="00FB0C97"/>
    <w:rsid w:val="00FB1539"/>
    <w:rsid w:val="00FD12E4"/>
    <w:rsid w:val="00FE0AAA"/>
    <w:rsid w:val="00FE7032"/>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fr-B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177"/>
    <o:shapelayout v:ext="edit">
      <o:idmap v:ext="edit" data="1"/>
    </o:shapelayout>
  </w:shapeDefaults>
  <w:decimalSymbol w:val=","/>
  <w:listSeparator w:val=";"/>
  <w15:docId w15:val="{A1919005-8FCB-4A39-9946-729EC4B6F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napToGrid w:val="0"/>
      <w:sz w:val="24"/>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2"/>
      </w:numPr>
      <w:spacing w:before="240" w:after="60"/>
      <w:outlineLvl w:val="3"/>
    </w:pPr>
    <w:rPr>
      <w:rFonts w:ascii="Arial" w:hAnsi="Arial"/>
      <w:b/>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rPr>
  </w:style>
  <w:style w:type="paragraph" w:customStyle="1" w:styleId="text-3mezera">
    <w:name w:val="text - 3 mezera"/>
    <w:basedOn w:val="Normal"/>
    <w:pPr>
      <w:widowControl w:val="0"/>
      <w:spacing w:before="60" w:line="240" w:lineRule="exact"/>
      <w:jc w:val="both"/>
    </w:pPr>
    <w:rPr>
      <w:rFonts w:ascii="Arial" w:hAnsi="Arial"/>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rPr>
  </w:style>
  <w:style w:type="paragraph" w:styleId="Footer">
    <w:name w:val="footer"/>
    <w:basedOn w:val="Normal"/>
    <w:link w:val="FooterChar"/>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semiHidden/>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rPr>
  </w:style>
  <w:style w:type="paragraph" w:styleId="Title">
    <w:name w:val="Title"/>
    <w:basedOn w:val="Normal"/>
    <w:link w:val="TitleChar"/>
    <w:qFormat/>
    <w:pPr>
      <w:spacing w:before="120" w:after="120"/>
      <w:jc w:val="center"/>
    </w:pPr>
    <w:rPr>
      <w:rFonts w:ascii="Arial" w:hAnsi="Arial"/>
      <w:b/>
      <w:sz w:val="28"/>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2"/>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rPr>
  </w:style>
  <w:style w:type="character" w:customStyle="1" w:styleId="Heading2Char">
    <w:name w:val="Heading 2 Char"/>
    <w:link w:val="Heading2"/>
    <w:semiHidden/>
    <w:locked/>
    <w:rsid w:val="0068234B"/>
    <w:rPr>
      <w:rFonts w:ascii="Arial" w:hAnsi="Arial"/>
      <w:b/>
      <w:snapToGrid w:val="0"/>
      <w:lang w:val="es-ES" w:eastAsia="es-ES" w:bidi="es-ES"/>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s-ES"/>
    </w:rPr>
  </w:style>
  <w:style w:type="paragraph" w:customStyle="1" w:styleId="corpsarticle">
    <w:name w:val="corps_article"/>
    <w:basedOn w:val="BodyText"/>
    <w:rsid w:val="001050EE"/>
    <w:pPr>
      <w:spacing w:before="60" w:after="60"/>
      <w:ind w:right="-1"/>
    </w:pPr>
    <w:rPr>
      <w:rFonts w:ascii="Times New Roman" w:hAnsi="Times New Roman"/>
      <w:snapToGrid/>
      <w:sz w:val="22"/>
    </w:rPr>
  </w:style>
  <w:style w:type="paragraph" w:customStyle="1" w:styleId="evidence1">
    <w:name w:val="evidence1"/>
    <w:basedOn w:val="Normal"/>
    <w:rsid w:val="001050EE"/>
    <w:pPr>
      <w:spacing w:line="360" w:lineRule="auto"/>
      <w:ind w:left="1134" w:hanging="283"/>
      <w:jc w:val="both"/>
    </w:pPr>
    <w:rPr>
      <w:rFonts w:ascii="Arial" w:hAnsi="Arial" w:cs="Arial"/>
      <w:snapToGrid/>
      <w:sz w:val="20"/>
    </w:rPr>
  </w:style>
  <w:style w:type="paragraph" w:styleId="DocumentMap">
    <w:name w:val="Document Map"/>
    <w:basedOn w:val="Normal"/>
    <w:semiHidden/>
    <w:rsid w:val="005478E4"/>
    <w:pPr>
      <w:shd w:val="clear" w:color="auto" w:fill="000080"/>
    </w:pPr>
    <w:rPr>
      <w:rFonts w:ascii="Tahoma" w:hAnsi="Tahoma" w:cs="Tahoma"/>
      <w:snapToGrid/>
      <w:sz w:val="20"/>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rPr>
  </w:style>
  <w:style w:type="character" w:customStyle="1" w:styleId="Heading3Char">
    <w:name w:val="Heading 3 Char"/>
    <w:link w:val="Heading3"/>
    <w:rsid w:val="005478E4"/>
    <w:rPr>
      <w:rFonts w:ascii="Arial" w:hAnsi="Arial"/>
      <w:b/>
      <w:snapToGrid w:val="0"/>
      <w:color w:val="FF0000"/>
      <w:sz w:val="36"/>
      <w:lang w:val="es-ES" w:eastAsia="es-ES" w:bidi="es-ES"/>
    </w:rPr>
  </w:style>
  <w:style w:type="numbering" w:styleId="111111">
    <w:name w:val="Outline List 2"/>
    <w:basedOn w:val="NoList"/>
    <w:rsid w:val="005478E4"/>
    <w:pPr>
      <w:numPr>
        <w:numId w:val="3"/>
      </w:numPr>
    </w:pPr>
  </w:style>
  <w:style w:type="paragraph" w:customStyle="1" w:styleId="Style11ptBlackJustifiedRight001cmBefore865ptL">
    <w:name w:val="Style 11 pt Black Justified Right:  001 cm Before:  865 pt L..."/>
    <w:basedOn w:val="Normal"/>
    <w:next w:val="Normal"/>
    <w:autoRedefine/>
    <w:rsid w:val="005478E4"/>
    <w:pPr>
      <w:numPr>
        <w:numId w:val="5"/>
      </w:numPr>
      <w:shd w:val="clear" w:color="auto" w:fill="FFFFFF"/>
      <w:tabs>
        <w:tab w:val="right" w:pos="1701"/>
      </w:tabs>
      <w:spacing w:before="60" w:after="120" w:line="212" w:lineRule="exact"/>
      <w:ind w:right="6"/>
      <w:jc w:val="both"/>
    </w:pPr>
    <w:rPr>
      <w:snapToGrid/>
      <w:color w:val="000000"/>
      <w:sz w:val="22"/>
    </w:rPr>
  </w:style>
  <w:style w:type="numbering" w:customStyle="1" w:styleId="Style1">
    <w:name w:val="Style1"/>
    <w:basedOn w:val="NoList"/>
    <w:rsid w:val="005478E4"/>
    <w:pPr>
      <w:numPr>
        <w:numId w:val="4"/>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bCs/>
      <w:sz w:val="22"/>
      <w:szCs w:val="26"/>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rPr>
  </w:style>
  <w:style w:type="character" w:customStyle="1" w:styleId="Normal2Char">
    <w:name w:val="Normal2 Char"/>
    <w:link w:val="Normal2"/>
    <w:rsid w:val="005478E4"/>
    <w:rPr>
      <w:color w:val="000000"/>
      <w:sz w:val="22"/>
      <w:szCs w:val="22"/>
      <w:lang w:val="es-ES" w:eastAsia="es-ES" w:bidi="es-ES"/>
    </w:rPr>
  </w:style>
  <w:style w:type="character" w:customStyle="1" w:styleId="StyleHeading3Char">
    <w:name w:val="Style Heading 3 Char"/>
    <w:link w:val="StyleHeading3"/>
    <w:rsid w:val="005478E4"/>
    <w:rPr>
      <w:rFonts w:ascii="Arial" w:hAnsi="Arial"/>
      <w:b/>
      <w:bCs/>
      <w:snapToGrid w:val="0"/>
      <w:color w:val="FF0000"/>
      <w:sz w:val="22"/>
      <w:szCs w:val="26"/>
      <w:lang w:val="es-ES" w:eastAsia="es-ES" w:bidi="es-ES"/>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rPr>
  </w:style>
  <w:style w:type="paragraph" w:customStyle="1" w:styleId="titlefront">
    <w:name w:val="title_front"/>
    <w:basedOn w:val="Normal"/>
    <w:rsid w:val="00F85039"/>
    <w:pPr>
      <w:spacing w:before="240"/>
      <w:ind w:left="1701"/>
      <w:jc w:val="right"/>
    </w:pPr>
    <w:rPr>
      <w:rFonts w:ascii="Optima" w:hAnsi="Optima"/>
      <w:b/>
      <w:snapToGrid/>
      <w:sz w:val="28"/>
    </w:rPr>
  </w:style>
  <w:style w:type="paragraph" w:styleId="BlockText">
    <w:name w:val="Block Text"/>
    <w:basedOn w:val="Normal"/>
    <w:rsid w:val="00F85039"/>
    <w:pPr>
      <w:keepNext/>
      <w:ind w:left="113" w:right="113"/>
      <w:jc w:val="both"/>
    </w:pPr>
    <w:rPr>
      <w:rFonts w:ascii="Arial" w:hAnsi="Arial" w:cs="Arial"/>
      <w:snapToGrid/>
      <w:sz w:val="20"/>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rPr>
  </w:style>
  <w:style w:type="character" w:styleId="CommentReference">
    <w:name w:val="annotation reference"/>
    <w:semiHidden/>
    <w:rsid w:val="004842DD"/>
    <w:rPr>
      <w:sz w:val="16"/>
      <w:szCs w:val="16"/>
    </w:rPr>
  </w:style>
  <w:style w:type="paragraph" w:styleId="CommentText">
    <w:name w:val="annotation text"/>
    <w:basedOn w:val="Normal"/>
    <w:link w:val="CommentTextChar"/>
    <w:semiHidden/>
    <w:rsid w:val="004842DD"/>
    <w:rPr>
      <w:sz w:val="20"/>
    </w:rPr>
  </w:style>
  <w:style w:type="paragraph" w:styleId="CommentSubject">
    <w:name w:val="annotation subject"/>
    <w:basedOn w:val="CommentText"/>
    <w:next w:val="CommentText"/>
    <w:semiHidden/>
    <w:rsid w:val="004842DD"/>
    <w:rPr>
      <w:b/>
      <w:bCs/>
    </w:rPr>
  </w:style>
  <w:style w:type="character" w:customStyle="1" w:styleId="TitleChar">
    <w:name w:val="Title Char"/>
    <w:link w:val="Title"/>
    <w:locked/>
    <w:rsid w:val="00553F9E"/>
    <w:rPr>
      <w:rFonts w:ascii="Arial" w:hAnsi="Arial"/>
      <w:b/>
      <w:snapToGrid w:val="0"/>
      <w:sz w:val="28"/>
      <w:lang w:val="es-ES" w:eastAsia="es-ES" w:bidi="es-ES"/>
    </w:rPr>
  </w:style>
  <w:style w:type="paragraph" w:styleId="ListNumber">
    <w:name w:val="List Number"/>
    <w:basedOn w:val="Normal"/>
    <w:rsid w:val="00553F9E"/>
    <w:pPr>
      <w:numPr>
        <w:numId w:val="6"/>
      </w:numPr>
      <w:spacing w:after="240"/>
      <w:jc w:val="both"/>
    </w:pPr>
    <w:rPr>
      <w:snapToGrid/>
    </w:rPr>
  </w:style>
  <w:style w:type="paragraph" w:customStyle="1" w:styleId="ListNumberLevel2">
    <w:name w:val="List Number (Level 2)"/>
    <w:basedOn w:val="Normal"/>
    <w:rsid w:val="00553F9E"/>
    <w:pPr>
      <w:numPr>
        <w:ilvl w:val="1"/>
        <w:numId w:val="6"/>
      </w:numPr>
      <w:spacing w:after="240"/>
      <w:jc w:val="both"/>
    </w:pPr>
    <w:rPr>
      <w:snapToGrid/>
    </w:rPr>
  </w:style>
  <w:style w:type="paragraph" w:customStyle="1" w:styleId="ListNumberLevel3">
    <w:name w:val="List Number (Level 3)"/>
    <w:basedOn w:val="Normal"/>
    <w:rsid w:val="00553F9E"/>
    <w:pPr>
      <w:numPr>
        <w:ilvl w:val="2"/>
        <w:numId w:val="6"/>
      </w:numPr>
      <w:spacing w:after="240"/>
      <w:jc w:val="both"/>
    </w:pPr>
    <w:rPr>
      <w:snapToGrid/>
    </w:rPr>
  </w:style>
  <w:style w:type="paragraph" w:customStyle="1" w:styleId="ListNumberLevel4">
    <w:name w:val="List Number (Level 4)"/>
    <w:basedOn w:val="Normal"/>
    <w:rsid w:val="00553F9E"/>
    <w:pPr>
      <w:numPr>
        <w:ilvl w:val="3"/>
        <w:numId w:val="6"/>
      </w:numPr>
      <w:spacing w:after="240"/>
      <w:jc w:val="both"/>
    </w:pPr>
    <w:rPr>
      <w:snapToGrid/>
    </w:rPr>
  </w:style>
  <w:style w:type="character" w:customStyle="1" w:styleId="FooterChar">
    <w:name w:val="Footer Char"/>
    <w:link w:val="Footer"/>
    <w:rsid w:val="00745CC9"/>
    <w:rPr>
      <w:snapToGrid w:val="0"/>
      <w:sz w:val="24"/>
      <w:lang w:eastAsia="es-ES"/>
    </w:rPr>
  </w:style>
  <w:style w:type="character" w:customStyle="1" w:styleId="CommentTextChar">
    <w:name w:val="Comment Text Char"/>
    <w:link w:val="CommentText"/>
    <w:semiHidden/>
    <w:rsid w:val="00C261B3"/>
    <w:rPr>
      <w:snapToGrid w:val="0"/>
      <w:lang w:eastAsia="es-ES"/>
    </w:rPr>
  </w:style>
  <w:style w:type="paragraph" w:styleId="HTMLPreformatted">
    <w:name w:val="HTML Preformatted"/>
    <w:basedOn w:val="Normal"/>
    <w:link w:val="HTMLPreformattedChar"/>
    <w:uiPriority w:val="99"/>
    <w:unhideWhenUsed/>
    <w:rsid w:val="00036A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napToGrid/>
      <w:sz w:val="20"/>
      <w:lang w:val="en-GB" w:eastAsia="en-GB" w:bidi="ar-SA"/>
    </w:rPr>
  </w:style>
  <w:style w:type="character" w:customStyle="1" w:styleId="HTMLPreformattedChar">
    <w:name w:val="HTML Preformatted Char"/>
    <w:basedOn w:val="DefaultParagraphFont"/>
    <w:link w:val="HTMLPreformatted"/>
    <w:uiPriority w:val="99"/>
    <w:rsid w:val="00036A8A"/>
    <w:rPr>
      <w:rFonts w:ascii="Courier New" w:hAnsi="Courier New" w:cs="Courier New"/>
      <w:lang w:val="en-GB" w:eastAsia="en-GB" w:bidi="ar-SA"/>
    </w:rPr>
  </w:style>
  <w:style w:type="character" w:customStyle="1" w:styleId="hps">
    <w:name w:val="hps"/>
    <w:rsid w:val="008B08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903441">
      <w:bodyDiv w:val="1"/>
      <w:marLeft w:val="0"/>
      <w:marRight w:val="0"/>
      <w:marTop w:val="0"/>
      <w:marBottom w:val="0"/>
      <w:divBdr>
        <w:top w:val="none" w:sz="0" w:space="0" w:color="auto"/>
        <w:left w:val="none" w:sz="0" w:space="0" w:color="auto"/>
        <w:bottom w:val="none" w:sz="0" w:space="0" w:color="auto"/>
        <w:right w:val="none" w:sz="0" w:space="0" w:color="auto"/>
      </w:divBdr>
      <w:divsChild>
        <w:div w:id="697388098">
          <w:marLeft w:val="0"/>
          <w:marRight w:val="0"/>
          <w:marTop w:val="0"/>
          <w:marBottom w:val="0"/>
          <w:divBdr>
            <w:top w:val="none" w:sz="0" w:space="0" w:color="auto"/>
            <w:left w:val="none" w:sz="0" w:space="0" w:color="auto"/>
            <w:bottom w:val="none" w:sz="0" w:space="0" w:color="auto"/>
            <w:right w:val="none" w:sz="0" w:space="0" w:color="auto"/>
          </w:divBdr>
          <w:divsChild>
            <w:div w:id="1057825962">
              <w:marLeft w:val="0"/>
              <w:marRight w:val="0"/>
              <w:marTop w:val="0"/>
              <w:marBottom w:val="0"/>
              <w:divBdr>
                <w:top w:val="none" w:sz="0" w:space="0" w:color="auto"/>
                <w:left w:val="none" w:sz="0" w:space="0" w:color="auto"/>
                <w:bottom w:val="none" w:sz="0" w:space="0" w:color="auto"/>
                <w:right w:val="none" w:sz="0" w:space="0" w:color="auto"/>
              </w:divBdr>
              <w:divsChild>
                <w:div w:id="445081485">
                  <w:marLeft w:val="0"/>
                  <w:marRight w:val="0"/>
                  <w:marTop w:val="0"/>
                  <w:marBottom w:val="0"/>
                  <w:divBdr>
                    <w:top w:val="none" w:sz="0" w:space="0" w:color="auto"/>
                    <w:left w:val="none" w:sz="0" w:space="0" w:color="auto"/>
                    <w:bottom w:val="none" w:sz="0" w:space="0" w:color="auto"/>
                    <w:right w:val="none" w:sz="0" w:space="0" w:color="auto"/>
                  </w:divBdr>
                  <w:divsChild>
                    <w:div w:id="566190134">
                      <w:marLeft w:val="0"/>
                      <w:marRight w:val="0"/>
                      <w:marTop w:val="0"/>
                      <w:marBottom w:val="0"/>
                      <w:divBdr>
                        <w:top w:val="none" w:sz="0" w:space="0" w:color="auto"/>
                        <w:left w:val="none" w:sz="0" w:space="0" w:color="auto"/>
                        <w:bottom w:val="none" w:sz="0" w:space="0" w:color="auto"/>
                        <w:right w:val="none" w:sz="0" w:space="0" w:color="auto"/>
                      </w:divBdr>
                      <w:divsChild>
                        <w:div w:id="908199817">
                          <w:marLeft w:val="0"/>
                          <w:marRight w:val="0"/>
                          <w:marTop w:val="0"/>
                          <w:marBottom w:val="0"/>
                          <w:divBdr>
                            <w:top w:val="none" w:sz="0" w:space="0" w:color="auto"/>
                            <w:left w:val="none" w:sz="0" w:space="0" w:color="auto"/>
                            <w:bottom w:val="none" w:sz="0" w:space="0" w:color="auto"/>
                            <w:right w:val="none" w:sz="0" w:space="0" w:color="auto"/>
                          </w:divBdr>
                          <w:divsChild>
                            <w:div w:id="1098722115">
                              <w:marLeft w:val="0"/>
                              <w:marRight w:val="0"/>
                              <w:marTop w:val="0"/>
                              <w:marBottom w:val="0"/>
                              <w:divBdr>
                                <w:top w:val="none" w:sz="0" w:space="0" w:color="auto"/>
                                <w:left w:val="none" w:sz="0" w:space="0" w:color="auto"/>
                                <w:bottom w:val="none" w:sz="0" w:space="0" w:color="auto"/>
                                <w:right w:val="none" w:sz="0" w:space="0" w:color="auto"/>
                              </w:divBdr>
                              <w:divsChild>
                                <w:div w:id="1752657916">
                                  <w:marLeft w:val="0"/>
                                  <w:marRight w:val="0"/>
                                  <w:marTop w:val="0"/>
                                  <w:marBottom w:val="0"/>
                                  <w:divBdr>
                                    <w:top w:val="none" w:sz="0" w:space="0" w:color="auto"/>
                                    <w:left w:val="none" w:sz="0" w:space="0" w:color="auto"/>
                                    <w:bottom w:val="none" w:sz="0" w:space="0" w:color="auto"/>
                                    <w:right w:val="none" w:sz="0" w:space="0" w:color="auto"/>
                                  </w:divBdr>
                                  <w:divsChild>
                                    <w:div w:id="818962271">
                                      <w:marLeft w:val="0"/>
                                      <w:marRight w:val="0"/>
                                      <w:marTop w:val="0"/>
                                      <w:marBottom w:val="0"/>
                                      <w:divBdr>
                                        <w:top w:val="none" w:sz="0" w:space="0" w:color="auto"/>
                                        <w:left w:val="none" w:sz="0" w:space="0" w:color="auto"/>
                                        <w:bottom w:val="none" w:sz="0" w:space="0" w:color="auto"/>
                                        <w:right w:val="none" w:sz="0" w:space="0" w:color="auto"/>
                                      </w:divBdr>
                                      <w:divsChild>
                                        <w:div w:id="1342005506">
                                          <w:marLeft w:val="0"/>
                                          <w:marRight w:val="0"/>
                                          <w:marTop w:val="0"/>
                                          <w:marBottom w:val="0"/>
                                          <w:divBdr>
                                            <w:top w:val="none" w:sz="0" w:space="0" w:color="auto"/>
                                            <w:left w:val="none" w:sz="0" w:space="0" w:color="auto"/>
                                            <w:bottom w:val="none" w:sz="0" w:space="0" w:color="auto"/>
                                            <w:right w:val="none" w:sz="0" w:space="0" w:color="auto"/>
                                          </w:divBdr>
                                          <w:divsChild>
                                            <w:div w:id="1724212313">
                                              <w:marLeft w:val="0"/>
                                              <w:marRight w:val="0"/>
                                              <w:marTop w:val="0"/>
                                              <w:marBottom w:val="0"/>
                                              <w:divBdr>
                                                <w:top w:val="none" w:sz="0" w:space="0" w:color="auto"/>
                                                <w:left w:val="none" w:sz="0" w:space="0" w:color="auto"/>
                                                <w:bottom w:val="none" w:sz="0" w:space="0" w:color="auto"/>
                                                <w:right w:val="none" w:sz="0" w:space="0" w:color="auto"/>
                                              </w:divBdr>
                                              <w:divsChild>
                                                <w:div w:id="1380089053">
                                                  <w:marLeft w:val="0"/>
                                                  <w:marRight w:val="0"/>
                                                  <w:marTop w:val="0"/>
                                                  <w:marBottom w:val="0"/>
                                                  <w:divBdr>
                                                    <w:top w:val="none" w:sz="0" w:space="0" w:color="auto"/>
                                                    <w:left w:val="none" w:sz="0" w:space="0" w:color="auto"/>
                                                    <w:bottom w:val="none" w:sz="0" w:space="0" w:color="auto"/>
                                                    <w:right w:val="none" w:sz="0" w:space="0" w:color="auto"/>
                                                  </w:divBdr>
                                                  <w:divsChild>
                                                    <w:div w:id="1567497367">
                                                      <w:marLeft w:val="0"/>
                                                      <w:marRight w:val="0"/>
                                                      <w:marTop w:val="0"/>
                                                      <w:marBottom w:val="0"/>
                                                      <w:divBdr>
                                                        <w:top w:val="none" w:sz="0" w:space="0" w:color="auto"/>
                                                        <w:left w:val="none" w:sz="0" w:space="0" w:color="auto"/>
                                                        <w:bottom w:val="none" w:sz="0" w:space="0" w:color="auto"/>
                                                        <w:right w:val="none" w:sz="0" w:space="0" w:color="auto"/>
                                                      </w:divBdr>
                                                      <w:divsChild>
                                                        <w:div w:id="100927921">
                                                          <w:marLeft w:val="0"/>
                                                          <w:marRight w:val="0"/>
                                                          <w:marTop w:val="0"/>
                                                          <w:marBottom w:val="0"/>
                                                          <w:divBdr>
                                                            <w:top w:val="none" w:sz="0" w:space="0" w:color="auto"/>
                                                            <w:left w:val="none" w:sz="0" w:space="0" w:color="auto"/>
                                                            <w:bottom w:val="none" w:sz="0" w:space="0" w:color="auto"/>
                                                            <w:right w:val="none" w:sz="0" w:space="0" w:color="auto"/>
                                                          </w:divBdr>
                                                          <w:divsChild>
                                                            <w:div w:id="1585844492">
                                                              <w:marLeft w:val="0"/>
                                                              <w:marRight w:val="0"/>
                                                              <w:marTop w:val="0"/>
                                                              <w:marBottom w:val="0"/>
                                                              <w:divBdr>
                                                                <w:top w:val="none" w:sz="0" w:space="0" w:color="auto"/>
                                                                <w:left w:val="none" w:sz="0" w:space="0" w:color="auto"/>
                                                                <w:bottom w:val="none" w:sz="0" w:space="0" w:color="auto"/>
                                                                <w:right w:val="none" w:sz="0" w:space="0" w:color="auto"/>
                                                              </w:divBdr>
                                                              <w:divsChild>
                                                                <w:div w:id="1734355983">
                                                                  <w:marLeft w:val="0"/>
                                                                  <w:marRight w:val="0"/>
                                                                  <w:marTop w:val="0"/>
                                                                  <w:marBottom w:val="0"/>
                                                                  <w:divBdr>
                                                                    <w:top w:val="none" w:sz="0" w:space="0" w:color="auto"/>
                                                                    <w:left w:val="none" w:sz="0" w:space="0" w:color="auto"/>
                                                                    <w:bottom w:val="none" w:sz="0" w:space="0" w:color="auto"/>
                                                                    <w:right w:val="none" w:sz="0" w:space="0" w:color="auto"/>
                                                                  </w:divBdr>
                                                                  <w:divsChild>
                                                                    <w:div w:id="1410538657">
                                                                      <w:marLeft w:val="0"/>
                                                                      <w:marRight w:val="0"/>
                                                                      <w:marTop w:val="0"/>
                                                                      <w:marBottom w:val="0"/>
                                                                      <w:divBdr>
                                                                        <w:top w:val="none" w:sz="0" w:space="0" w:color="auto"/>
                                                                        <w:left w:val="none" w:sz="0" w:space="0" w:color="auto"/>
                                                                        <w:bottom w:val="none" w:sz="0" w:space="0" w:color="auto"/>
                                                                        <w:right w:val="none" w:sz="0" w:space="0" w:color="auto"/>
                                                                      </w:divBdr>
                                                                      <w:divsChild>
                                                                        <w:div w:id="874998640">
                                                                          <w:marLeft w:val="0"/>
                                                                          <w:marRight w:val="0"/>
                                                                          <w:marTop w:val="0"/>
                                                                          <w:marBottom w:val="0"/>
                                                                          <w:divBdr>
                                                                            <w:top w:val="none" w:sz="0" w:space="0" w:color="auto"/>
                                                                            <w:left w:val="none" w:sz="0" w:space="0" w:color="auto"/>
                                                                            <w:bottom w:val="none" w:sz="0" w:space="0" w:color="auto"/>
                                                                            <w:right w:val="none" w:sz="0" w:space="0" w:color="auto"/>
                                                                          </w:divBdr>
                                                                          <w:divsChild>
                                                                            <w:div w:id="1256982286">
                                                                              <w:marLeft w:val="0"/>
                                                                              <w:marRight w:val="0"/>
                                                                              <w:marTop w:val="0"/>
                                                                              <w:marBottom w:val="0"/>
                                                                              <w:divBdr>
                                                                                <w:top w:val="none" w:sz="0" w:space="0" w:color="auto"/>
                                                                                <w:left w:val="none" w:sz="0" w:space="0" w:color="auto"/>
                                                                                <w:bottom w:val="none" w:sz="0" w:space="0" w:color="auto"/>
                                                                                <w:right w:val="none" w:sz="0" w:space="0" w:color="auto"/>
                                                                              </w:divBdr>
                                                                              <w:divsChild>
                                                                                <w:div w:id="186227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87550776">
      <w:bodyDiv w:val="1"/>
      <w:marLeft w:val="0"/>
      <w:marRight w:val="0"/>
      <w:marTop w:val="0"/>
      <w:marBottom w:val="0"/>
      <w:divBdr>
        <w:top w:val="none" w:sz="0" w:space="0" w:color="auto"/>
        <w:left w:val="none" w:sz="0" w:space="0" w:color="auto"/>
        <w:bottom w:val="none" w:sz="0" w:space="0" w:color="auto"/>
        <w:right w:val="none" w:sz="0" w:space="0" w:color="auto"/>
      </w:divBdr>
      <w:divsChild>
        <w:div w:id="994183581">
          <w:marLeft w:val="0"/>
          <w:marRight w:val="0"/>
          <w:marTop w:val="0"/>
          <w:marBottom w:val="0"/>
          <w:divBdr>
            <w:top w:val="none" w:sz="0" w:space="0" w:color="auto"/>
            <w:left w:val="none" w:sz="0" w:space="0" w:color="auto"/>
            <w:bottom w:val="none" w:sz="0" w:space="0" w:color="auto"/>
            <w:right w:val="none" w:sz="0" w:space="0" w:color="auto"/>
          </w:divBdr>
          <w:divsChild>
            <w:div w:id="312487177">
              <w:marLeft w:val="0"/>
              <w:marRight w:val="0"/>
              <w:marTop w:val="0"/>
              <w:marBottom w:val="0"/>
              <w:divBdr>
                <w:top w:val="none" w:sz="0" w:space="0" w:color="auto"/>
                <w:left w:val="none" w:sz="0" w:space="0" w:color="auto"/>
                <w:bottom w:val="none" w:sz="0" w:space="0" w:color="auto"/>
                <w:right w:val="none" w:sz="0" w:space="0" w:color="auto"/>
              </w:divBdr>
              <w:divsChild>
                <w:div w:id="889532797">
                  <w:marLeft w:val="0"/>
                  <w:marRight w:val="0"/>
                  <w:marTop w:val="0"/>
                  <w:marBottom w:val="0"/>
                  <w:divBdr>
                    <w:top w:val="none" w:sz="0" w:space="0" w:color="auto"/>
                    <w:left w:val="none" w:sz="0" w:space="0" w:color="auto"/>
                    <w:bottom w:val="none" w:sz="0" w:space="0" w:color="auto"/>
                    <w:right w:val="none" w:sz="0" w:space="0" w:color="auto"/>
                  </w:divBdr>
                  <w:divsChild>
                    <w:div w:id="1850022228">
                      <w:marLeft w:val="0"/>
                      <w:marRight w:val="0"/>
                      <w:marTop w:val="0"/>
                      <w:marBottom w:val="0"/>
                      <w:divBdr>
                        <w:top w:val="none" w:sz="0" w:space="0" w:color="auto"/>
                        <w:left w:val="none" w:sz="0" w:space="0" w:color="auto"/>
                        <w:bottom w:val="none" w:sz="0" w:space="0" w:color="auto"/>
                        <w:right w:val="none" w:sz="0" w:space="0" w:color="auto"/>
                      </w:divBdr>
                      <w:divsChild>
                        <w:div w:id="1278562869">
                          <w:marLeft w:val="0"/>
                          <w:marRight w:val="0"/>
                          <w:marTop w:val="0"/>
                          <w:marBottom w:val="0"/>
                          <w:divBdr>
                            <w:top w:val="none" w:sz="0" w:space="0" w:color="auto"/>
                            <w:left w:val="none" w:sz="0" w:space="0" w:color="auto"/>
                            <w:bottom w:val="none" w:sz="0" w:space="0" w:color="auto"/>
                            <w:right w:val="none" w:sz="0" w:space="0" w:color="auto"/>
                          </w:divBdr>
                          <w:divsChild>
                            <w:div w:id="641153891">
                              <w:marLeft w:val="0"/>
                              <w:marRight w:val="0"/>
                              <w:marTop w:val="0"/>
                              <w:marBottom w:val="0"/>
                              <w:divBdr>
                                <w:top w:val="none" w:sz="0" w:space="0" w:color="auto"/>
                                <w:left w:val="none" w:sz="0" w:space="0" w:color="auto"/>
                                <w:bottom w:val="none" w:sz="0" w:space="0" w:color="auto"/>
                                <w:right w:val="none" w:sz="0" w:space="0" w:color="auto"/>
                              </w:divBdr>
                              <w:divsChild>
                                <w:div w:id="8877425">
                                  <w:marLeft w:val="0"/>
                                  <w:marRight w:val="0"/>
                                  <w:marTop w:val="0"/>
                                  <w:marBottom w:val="0"/>
                                  <w:divBdr>
                                    <w:top w:val="none" w:sz="0" w:space="0" w:color="auto"/>
                                    <w:left w:val="none" w:sz="0" w:space="0" w:color="auto"/>
                                    <w:bottom w:val="none" w:sz="0" w:space="0" w:color="auto"/>
                                    <w:right w:val="none" w:sz="0" w:space="0" w:color="auto"/>
                                  </w:divBdr>
                                  <w:divsChild>
                                    <w:div w:id="961306067">
                                      <w:marLeft w:val="0"/>
                                      <w:marRight w:val="0"/>
                                      <w:marTop w:val="0"/>
                                      <w:marBottom w:val="0"/>
                                      <w:divBdr>
                                        <w:top w:val="none" w:sz="0" w:space="0" w:color="auto"/>
                                        <w:left w:val="none" w:sz="0" w:space="0" w:color="auto"/>
                                        <w:bottom w:val="none" w:sz="0" w:space="0" w:color="auto"/>
                                        <w:right w:val="none" w:sz="0" w:space="0" w:color="auto"/>
                                      </w:divBdr>
                                      <w:divsChild>
                                        <w:div w:id="1534347070">
                                          <w:marLeft w:val="0"/>
                                          <w:marRight w:val="0"/>
                                          <w:marTop w:val="0"/>
                                          <w:marBottom w:val="0"/>
                                          <w:divBdr>
                                            <w:top w:val="none" w:sz="0" w:space="0" w:color="auto"/>
                                            <w:left w:val="none" w:sz="0" w:space="0" w:color="auto"/>
                                            <w:bottom w:val="none" w:sz="0" w:space="0" w:color="auto"/>
                                            <w:right w:val="none" w:sz="0" w:space="0" w:color="auto"/>
                                          </w:divBdr>
                                          <w:divsChild>
                                            <w:div w:id="28798669">
                                              <w:marLeft w:val="0"/>
                                              <w:marRight w:val="0"/>
                                              <w:marTop w:val="0"/>
                                              <w:marBottom w:val="0"/>
                                              <w:divBdr>
                                                <w:top w:val="none" w:sz="0" w:space="0" w:color="auto"/>
                                                <w:left w:val="none" w:sz="0" w:space="0" w:color="auto"/>
                                                <w:bottom w:val="none" w:sz="0" w:space="0" w:color="auto"/>
                                                <w:right w:val="none" w:sz="0" w:space="0" w:color="auto"/>
                                              </w:divBdr>
                                              <w:divsChild>
                                                <w:div w:id="1056121335">
                                                  <w:marLeft w:val="0"/>
                                                  <w:marRight w:val="0"/>
                                                  <w:marTop w:val="0"/>
                                                  <w:marBottom w:val="0"/>
                                                  <w:divBdr>
                                                    <w:top w:val="none" w:sz="0" w:space="0" w:color="auto"/>
                                                    <w:left w:val="none" w:sz="0" w:space="0" w:color="auto"/>
                                                    <w:bottom w:val="none" w:sz="0" w:space="0" w:color="auto"/>
                                                    <w:right w:val="none" w:sz="0" w:space="0" w:color="auto"/>
                                                  </w:divBdr>
                                                  <w:divsChild>
                                                    <w:div w:id="1630476942">
                                                      <w:marLeft w:val="0"/>
                                                      <w:marRight w:val="0"/>
                                                      <w:marTop w:val="0"/>
                                                      <w:marBottom w:val="0"/>
                                                      <w:divBdr>
                                                        <w:top w:val="none" w:sz="0" w:space="0" w:color="auto"/>
                                                        <w:left w:val="none" w:sz="0" w:space="0" w:color="auto"/>
                                                        <w:bottom w:val="none" w:sz="0" w:space="0" w:color="auto"/>
                                                        <w:right w:val="none" w:sz="0" w:space="0" w:color="auto"/>
                                                      </w:divBdr>
                                                      <w:divsChild>
                                                        <w:div w:id="1166673302">
                                                          <w:marLeft w:val="0"/>
                                                          <w:marRight w:val="0"/>
                                                          <w:marTop w:val="0"/>
                                                          <w:marBottom w:val="0"/>
                                                          <w:divBdr>
                                                            <w:top w:val="none" w:sz="0" w:space="0" w:color="auto"/>
                                                            <w:left w:val="none" w:sz="0" w:space="0" w:color="auto"/>
                                                            <w:bottom w:val="none" w:sz="0" w:space="0" w:color="auto"/>
                                                            <w:right w:val="none" w:sz="0" w:space="0" w:color="auto"/>
                                                          </w:divBdr>
                                                          <w:divsChild>
                                                            <w:div w:id="552347669">
                                                              <w:marLeft w:val="0"/>
                                                              <w:marRight w:val="0"/>
                                                              <w:marTop w:val="0"/>
                                                              <w:marBottom w:val="0"/>
                                                              <w:divBdr>
                                                                <w:top w:val="none" w:sz="0" w:space="0" w:color="auto"/>
                                                                <w:left w:val="none" w:sz="0" w:space="0" w:color="auto"/>
                                                                <w:bottom w:val="none" w:sz="0" w:space="0" w:color="auto"/>
                                                                <w:right w:val="none" w:sz="0" w:space="0" w:color="auto"/>
                                                              </w:divBdr>
                                                              <w:divsChild>
                                                                <w:div w:id="1185637417">
                                                                  <w:marLeft w:val="0"/>
                                                                  <w:marRight w:val="0"/>
                                                                  <w:marTop w:val="0"/>
                                                                  <w:marBottom w:val="0"/>
                                                                  <w:divBdr>
                                                                    <w:top w:val="none" w:sz="0" w:space="0" w:color="auto"/>
                                                                    <w:left w:val="none" w:sz="0" w:space="0" w:color="auto"/>
                                                                    <w:bottom w:val="none" w:sz="0" w:space="0" w:color="auto"/>
                                                                    <w:right w:val="none" w:sz="0" w:space="0" w:color="auto"/>
                                                                  </w:divBdr>
                                                                  <w:divsChild>
                                                                    <w:div w:id="1126000065">
                                                                      <w:marLeft w:val="0"/>
                                                                      <w:marRight w:val="0"/>
                                                                      <w:marTop w:val="0"/>
                                                                      <w:marBottom w:val="0"/>
                                                                      <w:divBdr>
                                                                        <w:top w:val="none" w:sz="0" w:space="0" w:color="auto"/>
                                                                        <w:left w:val="none" w:sz="0" w:space="0" w:color="auto"/>
                                                                        <w:bottom w:val="none" w:sz="0" w:space="0" w:color="auto"/>
                                                                        <w:right w:val="none" w:sz="0" w:space="0" w:color="auto"/>
                                                                      </w:divBdr>
                                                                      <w:divsChild>
                                                                        <w:div w:id="2124155236">
                                                                          <w:marLeft w:val="0"/>
                                                                          <w:marRight w:val="0"/>
                                                                          <w:marTop w:val="0"/>
                                                                          <w:marBottom w:val="0"/>
                                                                          <w:divBdr>
                                                                            <w:top w:val="none" w:sz="0" w:space="0" w:color="auto"/>
                                                                            <w:left w:val="none" w:sz="0" w:space="0" w:color="auto"/>
                                                                            <w:bottom w:val="none" w:sz="0" w:space="0" w:color="auto"/>
                                                                            <w:right w:val="none" w:sz="0" w:space="0" w:color="auto"/>
                                                                          </w:divBdr>
                                                                          <w:divsChild>
                                                                            <w:div w:id="1399980455">
                                                                              <w:marLeft w:val="0"/>
                                                                              <w:marRight w:val="0"/>
                                                                              <w:marTop w:val="0"/>
                                                                              <w:marBottom w:val="0"/>
                                                                              <w:divBdr>
                                                                                <w:top w:val="none" w:sz="0" w:space="0" w:color="auto"/>
                                                                                <w:left w:val="none" w:sz="0" w:space="0" w:color="auto"/>
                                                                                <w:bottom w:val="none" w:sz="0" w:space="0" w:color="auto"/>
                                                                                <w:right w:val="none" w:sz="0" w:space="0" w:color="auto"/>
                                                                              </w:divBdr>
                                                                              <w:divsChild>
                                                                                <w:div w:id="4938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01773821">
      <w:bodyDiv w:val="1"/>
      <w:marLeft w:val="0"/>
      <w:marRight w:val="0"/>
      <w:marTop w:val="0"/>
      <w:marBottom w:val="0"/>
      <w:divBdr>
        <w:top w:val="none" w:sz="0" w:space="0" w:color="auto"/>
        <w:left w:val="none" w:sz="0" w:space="0" w:color="auto"/>
        <w:bottom w:val="none" w:sz="0" w:space="0" w:color="auto"/>
        <w:right w:val="none" w:sz="0" w:space="0" w:color="auto"/>
      </w:divBdr>
      <w:divsChild>
        <w:div w:id="7682121">
          <w:marLeft w:val="0"/>
          <w:marRight w:val="0"/>
          <w:marTop w:val="0"/>
          <w:marBottom w:val="0"/>
          <w:divBdr>
            <w:top w:val="none" w:sz="0" w:space="0" w:color="auto"/>
            <w:left w:val="none" w:sz="0" w:space="0" w:color="auto"/>
            <w:bottom w:val="none" w:sz="0" w:space="0" w:color="auto"/>
            <w:right w:val="none" w:sz="0" w:space="0" w:color="auto"/>
          </w:divBdr>
          <w:divsChild>
            <w:div w:id="1521356884">
              <w:marLeft w:val="0"/>
              <w:marRight w:val="0"/>
              <w:marTop w:val="0"/>
              <w:marBottom w:val="0"/>
              <w:divBdr>
                <w:top w:val="none" w:sz="0" w:space="0" w:color="auto"/>
                <w:left w:val="none" w:sz="0" w:space="0" w:color="auto"/>
                <w:bottom w:val="none" w:sz="0" w:space="0" w:color="auto"/>
                <w:right w:val="none" w:sz="0" w:space="0" w:color="auto"/>
              </w:divBdr>
              <w:divsChild>
                <w:div w:id="1679388832">
                  <w:marLeft w:val="0"/>
                  <w:marRight w:val="0"/>
                  <w:marTop w:val="0"/>
                  <w:marBottom w:val="0"/>
                  <w:divBdr>
                    <w:top w:val="none" w:sz="0" w:space="0" w:color="auto"/>
                    <w:left w:val="none" w:sz="0" w:space="0" w:color="auto"/>
                    <w:bottom w:val="none" w:sz="0" w:space="0" w:color="auto"/>
                    <w:right w:val="none" w:sz="0" w:space="0" w:color="auto"/>
                  </w:divBdr>
                  <w:divsChild>
                    <w:div w:id="1303078468">
                      <w:marLeft w:val="0"/>
                      <w:marRight w:val="0"/>
                      <w:marTop w:val="0"/>
                      <w:marBottom w:val="0"/>
                      <w:divBdr>
                        <w:top w:val="none" w:sz="0" w:space="0" w:color="auto"/>
                        <w:left w:val="none" w:sz="0" w:space="0" w:color="auto"/>
                        <w:bottom w:val="none" w:sz="0" w:space="0" w:color="auto"/>
                        <w:right w:val="none" w:sz="0" w:space="0" w:color="auto"/>
                      </w:divBdr>
                      <w:divsChild>
                        <w:div w:id="1103376246">
                          <w:marLeft w:val="0"/>
                          <w:marRight w:val="0"/>
                          <w:marTop w:val="0"/>
                          <w:marBottom w:val="0"/>
                          <w:divBdr>
                            <w:top w:val="none" w:sz="0" w:space="0" w:color="auto"/>
                            <w:left w:val="none" w:sz="0" w:space="0" w:color="auto"/>
                            <w:bottom w:val="none" w:sz="0" w:space="0" w:color="auto"/>
                            <w:right w:val="none" w:sz="0" w:space="0" w:color="auto"/>
                          </w:divBdr>
                          <w:divsChild>
                            <w:div w:id="1975484160">
                              <w:marLeft w:val="0"/>
                              <w:marRight w:val="0"/>
                              <w:marTop w:val="0"/>
                              <w:marBottom w:val="0"/>
                              <w:divBdr>
                                <w:top w:val="none" w:sz="0" w:space="0" w:color="auto"/>
                                <w:left w:val="none" w:sz="0" w:space="0" w:color="auto"/>
                                <w:bottom w:val="none" w:sz="0" w:space="0" w:color="auto"/>
                                <w:right w:val="none" w:sz="0" w:space="0" w:color="auto"/>
                              </w:divBdr>
                              <w:divsChild>
                                <w:div w:id="869801008">
                                  <w:marLeft w:val="0"/>
                                  <w:marRight w:val="0"/>
                                  <w:marTop w:val="0"/>
                                  <w:marBottom w:val="0"/>
                                  <w:divBdr>
                                    <w:top w:val="none" w:sz="0" w:space="0" w:color="auto"/>
                                    <w:left w:val="none" w:sz="0" w:space="0" w:color="auto"/>
                                    <w:bottom w:val="none" w:sz="0" w:space="0" w:color="auto"/>
                                    <w:right w:val="none" w:sz="0" w:space="0" w:color="auto"/>
                                  </w:divBdr>
                                  <w:divsChild>
                                    <w:div w:id="1669482189">
                                      <w:marLeft w:val="0"/>
                                      <w:marRight w:val="0"/>
                                      <w:marTop w:val="0"/>
                                      <w:marBottom w:val="0"/>
                                      <w:divBdr>
                                        <w:top w:val="none" w:sz="0" w:space="0" w:color="auto"/>
                                        <w:left w:val="none" w:sz="0" w:space="0" w:color="auto"/>
                                        <w:bottom w:val="none" w:sz="0" w:space="0" w:color="auto"/>
                                        <w:right w:val="none" w:sz="0" w:space="0" w:color="auto"/>
                                      </w:divBdr>
                                      <w:divsChild>
                                        <w:div w:id="1037660924">
                                          <w:marLeft w:val="0"/>
                                          <w:marRight w:val="0"/>
                                          <w:marTop w:val="0"/>
                                          <w:marBottom w:val="0"/>
                                          <w:divBdr>
                                            <w:top w:val="none" w:sz="0" w:space="0" w:color="auto"/>
                                            <w:left w:val="none" w:sz="0" w:space="0" w:color="auto"/>
                                            <w:bottom w:val="none" w:sz="0" w:space="0" w:color="auto"/>
                                            <w:right w:val="none" w:sz="0" w:space="0" w:color="auto"/>
                                          </w:divBdr>
                                          <w:divsChild>
                                            <w:div w:id="1531995802">
                                              <w:marLeft w:val="0"/>
                                              <w:marRight w:val="0"/>
                                              <w:marTop w:val="0"/>
                                              <w:marBottom w:val="0"/>
                                              <w:divBdr>
                                                <w:top w:val="none" w:sz="0" w:space="0" w:color="auto"/>
                                                <w:left w:val="none" w:sz="0" w:space="0" w:color="auto"/>
                                                <w:bottom w:val="none" w:sz="0" w:space="0" w:color="auto"/>
                                                <w:right w:val="none" w:sz="0" w:space="0" w:color="auto"/>
                                              </w:divBdr>
                                              <w:divsChild>
                                                <w:div w:id="2089761895">
                                                  <w:marLeft w:val="0"/>
                                                  <w:marRight w:val="0"/>
                                                  <w:marTop w:val="0"/>
                                                  <w:marBottom w:val="0"/>
                                                  <w:divBdr>
                                                    <w:top w:val="none" w:sz="0" w:space="0" w:color="auto"/>
                                                    <w:left w:val="none" w:sz="0" w:space="0" w:color="auto"/>
                                                    <w:bottom w:val="none" w:sz="0" w:space="0" w:color="auto"/>
                                                    <w:right w:val="none" w:sz="0" w:space="0" w:color="auto"/>
                                                  </w:divBdr>
                                                  <w:divsChild>
                                                    <w:div w:id="571893557">
                                                      <w:marLeft w:val="0"/>
                                                      <w:marRight w:val="0"/>
                                                      <w:marTop w:val="0"/>
                                                      <w:marBottom w:val="0"/>
                                                      <w:divBdr>
                                                        <w:top w:val="none" w:sz="0" w:space="0" w:color="auto"/>
                                                        <w:left w:val="none" w:sz="0" w:space="0" w:color="auto"/>
                                                        <w:bottom w:val="none" w:sz="0" w:space="0" w:color="auto"/>
                                                        <w:right w:val="none" w:sz="0" w:space="0" w:color="auto"/>
                                                      </w:divBdr>
                                                      <w:divsChild>
                                                        <w:div w:id="1991134064">
                                                          <w:marLeft w:val="0"/>
                                                          <w:marRight w:val="0"/>
                                                          <w:marTop w:val="0"/>
                                                          <w:marBottom w:val="0"/>
                                                          <w:divBdr>
                                                            <w:top w:val="none" w:sz="0" w:space="0" w:color="auto"/>
                                                            <w:left w:val="none" w:sz="0" w:space="0" w:color="auto"/>
                                                            <w:bottom w:val="none" w:sz="0" w:space="0" w:color="auto"/>
                                                            <w:right w:val="none" w:sz="0" w:space="0" w:color="auto"/>
                                                          </w:divBdr>
                                                          <w:divsChild>
                                                            <w:div w:id="483667807">
                                                              <w:marLeft w:val="0"/>
                                                              <w:marRight w:val="0"/>
                                                              <w:marTop w:val="0"/>
                                                              <w:marBottom w:val="0"/>
                                                              <w:divBdr>
                                                                <w:top w:val="none" w:sz="0" w:space="0" w:color="auto"/>
                                                                <w:left w:val="none" w:sz="0" w:space="0" w:color="auto"/>
                                                                <w:bottom w:val="none" w:sz="0" w:space="0" w:color="auto"/>
                                                                <w:right w:val="none" w:sz="0" w:space="0" w:color="auto"/>
                                                              </w:divBdr>
                                                              <w:divsChild>
                                                                <w:div w:id="487475216">
                                                                  <w:marLeft w:val="0"/>
                                                                  <w:marRight w:val="0"/>
                                                                  <w:marTop w:val="0"/>
                                                                  <w:marBottom w:val="0"/>
                                                                  <w:divBdr>
                                                                    <w:top w:val="none" w:sz="0" w:space="0" w:color="auto"/>
                                                                    <w:left w:val="none" w:sz="0" w:space="0" w:color="auto"/>
                                                                    <w:bottom w:val="none" w:sz="0" w:space="0" w:color="auto"/>
                                                                    <w:right w:val="none" w:sz="0" w:space="0" w:color="auto"/>
                                                                  </w:divBdr>
                                                                  <w:divsChild>
                                                                    <w:div w:id="2087727121">
                                                                      <w:marLeft w:val="0"/>
                                                                      <w:marRight w:val="0"/>
                                                                      <w:marTop w:val="0"/>
                                                                      <w:marBottom w:val="0"/>
                                                                      <w:divBdr>
                                                                        <w:top w:val="none" w:sz="0" w:space="0" w:color="auto"/>
                                                                        <w:left w:val="none" w:sz="0" w:space="0" w:color="auto"/>
                                                                        <w:bottom w:val="none" w:sz="0" w:space="0" w:color="auto"/>
                                                                        <w:right w:val="none" w:sz="0" w:space="0" w:color="auto"/>
                                                                      </w:divBdr>
                                                                      <w:divsChild>
                                                                        <w:div w:id="170417909">
                                                                          <w:marLeft w:val="0"/>
                                                                          <w:marRight w:val="0"/>
                                                                          <w:marTop w:val="0"/>
                                                                          <w:marBottom w:val="0"/>
                                                                          <w:divBdr>
                                                                            <w:top w:val="none" w:sz="0" w:space="0" w:color="auto"/>
                                                                            <w:left w:val="none" w:sz="0" w:space="0" w:color="auto"/>
                                                                            <w:bottom w:val="none" w:sz="0" w:space="0" w:color="auto"/>
                                                                            <w:right w:val="none" w:sz="0" w:space="0" w:color="auto"/>
                                                                          </w:divBdr>
                                                                          <w:divsChild>
                                                                            <w:div w:id="157431325">
                                                                              <w:marLeft w:val="0"/>
                                                                              <w:marRight w:val="0"/>
                                                                              <w:marTop w:val="0"/>
                                                                              <w:marBottom w:val="0"/>
                                                                              <w:divBdr>
                                                                                <w:top w:val="none" w:sz="0" w:space="0" w:color="auto"/>
                                                                                <w:left w:val="none" w:sz="0" w:space="0" w:color="auto"/>
                                                                                <w:bottom w:val="none" w:sz="0" w:space="0" w:color="auto"/>
                                                                                <w:right w:val="none" w:sz="0" w:space="0" w:color="auto"/>
                                                                              </w:divBdr>
                                                                              <w:divsChild>
                                                                                <w:div w:id="192645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5455769">
      <w:bodyDiv w:val="1"/>
      <w:marLeft w:val="0"/>
      <w:marRight w:val="0"/>
      <w:marTop w:val="0"/>
      <w:marBottom w:val="0"/>
      <w:divBdr>
        <w:top w:val="none" w:sz="0" w:space="0" w:color="auto"/>
        <w:left w:val="none" w:sz="0" w:space="0" w:color="auto"/>
        <w:bottom w:val="none" w:sz="0" w:space="0" w:color="auto"/>
        <w:right w:val="none" w:sz="0" w:space="0" w:color="auto"/>
      </w:divBdr>
      <w:divsChild>
        <w:div w:id="1818842951">
          <w:marLeft w:val="0"/>
          <w:marRight w:val="0"/>
          <w:marTop w:val="0"/>
          <w:marBottom w:val="0"/>
          <w:divBdr>
            <w:top w:val="none" w:sz="0" w:space="0" w:color="auto"/>
            <w:left w:val="none" w:sz="0" w:space="0" w:color="auto"/>
            <w:bottom w:val="none" w:sz="0" w:space="0" w:color="auto"/>
            <w:right w:val="none" w:sz="0" w:space="0" w:color="auto"/>
          </w:divBdr>
          <w:divsChild>
            <w:div w:id="977370681">
              <w:marLeft w:val="0"/>
              <w:marRight w:val="0"/>
              <w:marTop w:val="0"/>
              <w:marBottom w:val="0"/>
              <w:divBdr>
                <w:top w:val="none" w:sz="0" w:space="0" w:color="auto"/>
                <w:left w:val="none" w:sz="0" w:space="0" w:color="auto"/>
                <w:bottom w:val="none" w:sz="0" w:space="0" w:color="auto"/>
                <w:right w:val="none" w:sz="0" w:space="0" w:color="auto"/>
              </w:divBdr>
              <w:divsChild>
                <w:div w:id="658731661">
                  <w:marLeft w:val="0"/>
                  <w:marRight w:val="0"/>
                  <w:marTop w:val="0"/>
                  <w:marBottom w:val="0"/>
                  <w:divBdr>
                    <w:top w:val="none" w:sz="0" w:space="0" w:color="auto"/>
                    <w:left w:val="none" w:sz="0" w:space="0" w:color="auto"/>
                    <w:bottom w:val="none" w:sz="0" w:space="0" w:color="auto"/>
                    <w:right w:val="none" w:sz="0" w:space="0" w:color="auto"/>
                  </w:divBdr>
                  <w:divsChild>
                    <w:div w:id="615407373">
                      <w:marLeft w:val="0"/>
                      <w:marRight w:val="0"/>
                      <w:marTop w:val="0"/>
                      <w:marBottom w:val="0"/>
                      <w:divBdr>
                        <w:top w:val="none" w:sz="0" w:space="0" w:color="auto"/>
                        <w:left w:val="none" w:sz="0" w:space="0" w:color="auto"/>
                        <w:bottom w:val="none" w:sz="0" w:space="0" w:color="auto"/>
                        <w:right w:val="none" w:sz="0" w:space="0" w:color="auto"/>
                      </w:divBdr>
                      <w:divsChild>
                        <w:div w:id="2038967063">
                          <w:marLeft w:val="0"/>
                          <w:marRight w:val="0"/>
                          <w:marTop w:val="0"/>
                          <w:marBottom w:val="0"/>
                          <w:divBdr>
                            <w:top w:val="none" w:sz="0" w:space="0" w:color="auto"/>
                            <w:left w:val="none" w:sz="0" w:space="0" w:color="auto"/>
                            <w:bottom w:val="none" w:sz="0" w:space="0" w:color="auto"/>
                            <w:right w:val="none" w:sz="0" w:space="0" w:color="auto"/>
                          </w:divBdr>
                          <w:divsChild>
                            <w:div w:id="790630598">
                              <w:marLeft w:val="0"/>
                              <w:marRight w:val="0"/>
                              <w:marTop w:val="0"/>
                              <w:marBottom w:val="0"/>
                              <w:divBdr>
                                <w:top w:val="none" w:sz="0" w:space="0" w:color="auto"/>
                                <w:left w:val="none" w:sz="0" w:space="0" w:color="auto"/>
                                <w:bottom w:val="none" w:sz="0" w:space="0" w:color="auto"/>
                                <w:right w:val="none" w:sz="0" w:space="0" w:color="auto"/>
                              </w:divBdr>
                              <w:divsChild>
                                <w:div w:id="1221090789">
                                  <w:marLeft w:val="0"/>
                                  <w:marRight w:val="0"/>
                                  <w:marTop w:val="0"/>
                                  <w:marBottom w:val="0"/>
                                  <w:divBdr>
                                    <w:top w:val="none" w:sz="0" w:space="0" w:color="auto"/>
                                    <w:left w:val="none" w:sz="0" w:space="0" w:color="auto"/>
                                    <w:bottom w:val="none" w:sz="0" w:space="0" w:color="auto"/>
                                    <w:right w:val="none" w:sz="0" w:space="0" w:color="auto"/>
                                  </w:divBdr>
                                  <w:divsChild>
                                    <w:div w:id="623779280">
                                      <w:marLeft w:val="0"/>
                                      <w:marRight w:val="0"/>
                                      <w:marTop w:val="0"/>
                                      <w:marBottom w:val="0"/>
                                      <w:divBdr>
                                        <w:top w:val="none" w:sz="0" w:space="0" w:color="auto"/>
                                        <w:left w:val="none" w:sz="0" w:space="0" w:color="auto"/>
                                        <w:bottom w:val="none" w:sz="0" w:space="0" w:color="auto"/>
                                        <w:right w:val="none" w:sz="0" w:space="0" w:color="auto"/>
                                      </w:divBdr>
                                      <w:divsChild>
                                        <w:div w:id="1874150205">
                                          <w:marLeft w:val="0"/>
                                          <w:marRight w:val="0"/>
                                          <w:marTop w:val="0"/>
                                          <w:marBottom w:val="0"/>
                                          <w:divBdr>
                                            <w:top w:val="none" w:sz="0" w:space="0" w:color="auto"/>
                                            <w:left w:val="none" w:sz="0" w:space="0" w:color="auto"/>
                                            <w:bottom w:val="none" w:sz="0" w:space="0" w:color="auto"/>
                                            <w:right w:val="none" w:sz="0" w:space="0" w:color="auto"/>
                                          </w:divBdr>
                                          <w:divsChild>
                                            <w:div w:id="987517487">
                                              <w:marLeft w:val="0"/>
                                              <w:marRight w:val="0"/>
                                              <w:marTop w:val="0"/>
                                              <w:marBottom w:val="0"/>
                                              <w:divBdr>
                                                <w:top w:val="none" w:sz="0" w:space="0" w:color="auto"/>
                                                <w:left w:val="none" w:sz="0" w:space="0" w:color="auto"/>
                                                <w:bottom w:val="none" w:sz="0" w:space="0" w:color="auto"/>
                                                <w:right w:val="none" w:sz="0" w:space="0" w:color="auto"/>
                                              </w:divBdr>
                                              <w:divsChild>
                                                <w:div w:id="1599143974">
                                                  <w:marLeft w:val="0"/>
                                                  <w:marRight w:val="0"/>
                                                  <w:marTop w:val="0"/>
                                                  <w:marBottom w:val="0"/>
                                                  <w:divBdr>
                                                    <w:top w:val="none" w:sz="0" w:space="0" w:color="auto"/>
                                                    <w:left w:val="none" w:sz="0" w:space="0" w:color="auto"/>
                                                    <w:bottom w:val="none" w:sz="0" w:space="0" w:color="auto"/>
                                                    <w:right w:val="none" w:sz="0" w:space="0" w:color="auto"/>
                                                  </w:divBdr>
                                                  <w:divsChild>
                                                    <w:div w:id="719598464">
                                                      <w:marLeft w:val="0"/>
                                                      <w:marRight w:val="0"/>
                                                      <w:marTop w:val="0"/>
                                                      <w:marBottom w:val="0"/>
                                                      <w:divBdr>
                                                        <w:top w:val="none" w:sz="0" w:space="0" w:color="auto"/>
                                                        <w:left w:val="none" w:sz="0" w:space="0" w:color="auto"/>
                                                        <w:bottom w:val="none" w:sz="0" w:space="0" w:color="auto"/>
                                                        <w:right w:val="none" w:sz="0" w:space="0" w:color="auto"/>
                                                      </w:divBdr>
                                                      <w:divsChild>
                                                        <w:div w:id="221796069">
                                                          <w:marLeft w:val="0"/>
                                                          <w:marRight w:val="0"/>
                                                          <w:marTop w:val="0"/>
                                                          <w:marBottom w:val="0"/>
                                                          <w:divBdr>
                                                            <w:top w:val="none" w:sz="0" w:space="0" w:color="auto"/>
                                                            <w:left w:val="none" w:sz="0" w:space="0" w:color="auto"/>
                                                            <w:bottom w:val="none" w:sz="0" w:space="0" w:color="auto"/>
                                                            <w:right w:val="none" w:sz="0" w:space="0" w:color="auto"/>
                                                          </w:divBdr>
                                                          <w:divsChild>
                                                            <w:div w:id="771360575">
                                                              <w:marLeft w:val="0"/>
                                                              <w:marRight w:val="0"/>
                                                              <w:marTop w:val="0"/>
                                                              <w:marBottom w:val="0"/>
                                                              <w:divBdr>
                                                                <w:top w:val="none" w:sz="0" w:space="0" w:color="auto"/>
                                                                <w:left w:val="none" w:sz="0" w:space="0" w:color="auto"/>
                                                                <w:bottom w:val="none" w:sz="0" w:space="0" w:color="auto"/>
                                                                <w:right w:val="none" w:sz="0" w:space="0" w:color="auto"/>
                                                              </w:divBdr>
                                                              <w:divsChild>
                                                                <w:div w:id="257713494">
                                                                  <w:marLeft w:val="0"/>
                                                                  <w:marRight w:val="0"/>
                                                                  <w:marTop w:val="0"/>
                                                                  <w:marBottom w:val="0"/>
                                                                  <w:divBdr>
                                                                    <w:top w:val="none" w:sz="0" w:space="0" w:color="auto"/>
                                                                    <w:left w:val="none" w:sz="0" w:space="0" w:color="auto"/>
                                                                    <w:bottom w:val="none" w:sz="0" w:space="0" w:color="auto"/>
                                                                    <w:right w:val="none" w:sz="0" w:space="0" w:color="auto"/>
                                                                  </w:divBdr>
                                                                  <w:divsChild>
                                                                    <w:div w:id="1800537472">
                                                                      <w:marLeft w:val="0"/>
                                                                      <w:marRight w:val="0"/>
                                                                      <w:marTop w:val="0"/>
                                                                      <w:marBottom w:val="0"/>
                                                                      <w:divBdr>
                                                                        <w:top w:val="none" w:sz="0" w:space="0" w:color="auto"/>
                                                                        <w:left w:val="none" w:sz="0" w:space="0" w:color="auto"/>
                                                                        <w:bottom w:val="none" w:sz="0" w:space="0" w:color="auto"/>
                                                                        <w:right w:val="none" w:sz="0" w:space="0" w:color="auto"/>
                                                                      </w:divBdr>
                                                                      <w:divsChild>
                                                                        <w:div w:id="523445467">
                                                                          <w:marLeft w:val="0"/>
                                                                          <w:marRight w:val="0"/>
                                                                          <w:marTop w:val="0"/>
                                                                          <w:marBottom w:val="0"/>
                                                                          <w:divBdr>
                                                                            <w:top w:val="none" w:sz="0" w:space="0" w:color="auto"/>
                                                                            <w:left w:val="none" w:sz="0" w:space="0" w:color="auto"/>
                                                                            <w:bottom w:val="none" w:sz="0" w:space="0" w:color="auto"/>
                                                                            <w:right w:val="none" w:sz="0" w:space="0" w:color="auto"/>
                                                                          </w:divBdr>
                                                                          <w:divsChild>
                                                                            <w:div w:id="1529023276">
                                                                              <w:marLeft w:val="0"/>
                                                                              <w:marRight w:val="0"/>
                                                                              <w:marTop w:val="0"/>
                                                                              <w:marBottom w:val="0"/>
                                                                              <w:divBdr>
                                                                                <w:top w:val="none" w:sz="0" w:space="0" w:color="auto"/>
                                                                                <w:left w:val="none" w:sz="0" w:space="0" w:color="auto"/>
                                                                                <w:bottom w:val="none" w:sz="0" w:space="0" w:color="auto"/>
                                                                                <w:right w:val="none" w:sz="0" w:space="0" w:color="auto"/>
                                                                              </w:divBdr>
                                                                              <w:divsChild>
                                                                                <w:div w:id="427652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92301938">
      <w:bodyDiv w:val="1"/>
      <w:marLeft w:val="0"/>
      <w:marRight w:val="0"/>
      <w:marTop w:val="0"/>
      <w:marBottom w:val="0"/>
      <w:divBdr>
        <w:top w:val="none" w:sz="0" w:space="0" w:color="auto"/>
        <w:left w:val="none" w:sz="0" w:space="0" w:color="auto"/>
        <w:bottom w:val="none" w:sz="0" w:space="0" w:color="auto"/>
        <w:right w:val="none" w:sz="0" w:space="0" w:color="auto"/>
      </w:divBdr>
      <w:divsChild>
        <w:div w:id="1201089775">
          <w:marLeft w:val="0"/>
          <w:marRight w:val="0"/>
          <w:marTop w:val="0"/>
          <w:marBottom w:val="0"/>
          <w:divBdr>
            <w:top w:val="none" w:sz="0" w:space="0" w:color="auto"/>
            <w:left w:val="none" w:sz="0" w:space="0" w:color="auto"/>
            <w:bottom w:val="none" w:sz="0" w:space="0" w:color="auto"/>
            <w:right w:val="none" w:sz="0" w:space="0" w:color="auto"/>
          </w:divBdr>
          <w:divsChild>
            <w:div w:id="1293440521">
              <w:marLeft w:val="0"/>
              <w:marRight w:val="0"/>
              <w:marTop w:val="0"/>
              <w:marBottom w:val="0"/>
              <w:divBdr>
                <w:top w:val="none" w:sz="0" w:space="0" w:color="auto"/>
                <w:left w:val="none" w:sz="0" w:space="0" w:color="auto"/>
                <w:bottom w:val="none" w:sz="0" w:space="0" w:color="auto"/>
                <w:right w:val="none" w:sz="0" w:space="0" w:color="auto"/>
              </w:divBdr>
              <w:divsChild>
                <w:div w:id="269823732">
                  <w:marLeft w:val="0"/>
                  <w:marRight w:val="0"/>
                  <w:marTop w:val="0"/>
                  <w:marBottom w:val="0"/>
                  <w:divBdr>
                    <w:top w:val="none" w:sz="0" w:space="0" w:color="auto"/>
                    <w:left w:val="none" w:sz="0" w:space="0" w:color="auto"/>
                    <w:bottom w:val="none" w:sz="0" w:space="0" w:color="auto"/>
                    <w:right w:val="none" w:sz="0" w:space="0" w:color="auto"/>
                  </w:divBdr>
                  <w:divsChild>
                    <w:div w:id="932593976">
                      <w:marLeft w:val="0"/>
                      <w:marRight w:val="0"/>
                      <w:marTop w:val="0"/>
                      <w:marBottom w:val="0"/>
                      <w:divBdr>
                        <w:top w:val="none" w:sz="0" w:space="0" w:color="auto"/>
                        <w:left w:val="none" w:sz="0" w:space="0" w:color="auto"/>
                        <w:bottom w:val="none" w:sz="0" w:space="0" w:color="auto"/>
                        <w:right w:val="none" w:sz="0" w:space="0" w:color="auto"/>
                      </w:divBdr>
                      <w:divsChild>
                        <w:div w:id="224223307">
                          <w:marLeft w:val="0"/>
                          <w:marRight w:val="0"/>
                          <w:marTop w:val="0"/>
                          <w:marBottom w:val="0"/>
                          <w:divBdr>
                            <w:top w:val="none" w:sz="0" w:space="0" w:color="auto"/>
                            <w:left w:val="none" w:sz="0" w:space="0" w:color="auto"/>
                            <w:bottom w:val="none" w:sz="0" w:space="0" w:color="auto"/>
                            <w:right w:val="none" w:sz="0" w:space="0" w:color="auto"/>
                          </w:divBdr>
                          <w:divsChild>
                            <w:div w:id="1184246093">
                              <w:marLeft w:val="0"/>
                              <w:marRight w:val="0"/>
                              <w:marTop w:val="0"/>
                              <w:marBottom w:val="0"/>
                              <w:divBdr>
                                <w:top w:val="none" w:sz="0" w:space="0" w:color="auto"/>
                                <w:left w:val="none" w:sz="0" w:space="0" w:color="auto"/>
                                <w:bottom w:val="none" w:sz="0" w:space="0" w:color="auto"/>
                                <w:right w:val="none" w:sz="0" w:space="0" w:color="auto"/>
                              </w:divBdr>
                              <w:divsChild>
                                <w:div w:id="1517886704">
                                  <w:marLeft w:val="0"/>
                                  <w:marRight w:val="0"/>
                                  <w:marTop w:val="0"/>
                                  <w:marBottom w:val="0"/>
                                  <w:divBdr>
                                    <w:top w:val="none" w:sz="0" w:space="0" w:color="auto"/>
                                    <w:left w:val="none" w:sz="0" w:space="0" w:color="auto"/>
                                    <w:bottom w:val="none" w:sz="0" w:space="0" w:color="auto"/>
                                    <w:right w:val="none" w:sz="0" w:space="0" w:color="auto"/>
                                  </w:divBdr>
                                  <w:divsChild>
                                    <w:div w:id="964701536">
                                      <w:marLeft w:val="0"/>
                                      <w:marRight w:val="0"/>
                                      <w:marTop w:val="0"/>
                                      <w:marBottom w:val="0"/>
                                      <w:divBdr>
                                        <w:top w:val="none" w:sz="0" w:space="0" w:color="auto"/>
                                        <w:left w:val="none" w:sz="0" w:space="0" w:color="auto"/>
                                        <w:bottom w:val="none" w:sz="0" w:space="0" w:color="auto"/>
                                        <w:right w:val="none" w:sz="0" w:space="0" w:color="auto"/>
                                      </w:divBdr>
                                      <w:divsChild>
                                        <w:div w:id="1801025983">
                                          <w:marLeft w:val="0"/>
                                          <w:marRight w:val="0"/>
                                          <w:marTop w:val="0"/>
                                          <w:marBottom w:val="0"/>
                                          <w:divBdr>
                                            <w:top w:val="none" w:sz="0" w:space="0" w:color="auto"/>
                                            <w:left w:val="none" w:sz="0" w:space="0" w:color="auto"/>
                                            <w:bottom w:val="none" w:sz="0" w:space="0" w:color="auto"/>
                                            <w:right w:val="none" w:sz="0" w:space="0" w:color="auto"/>
                                          </w:divBdr>
                                          <w:divsChild>
                                            <w:div w:id="2038311274">
                                              <w:marLeft w:val="0"/>
                                              <w:marRight w:val="0"/>
                                              <w:marTop w:val="0"/>
                                              <w:marBottom w:val="0"/>
                                              <w:divBdr>
                                                <w:top w:val="none" w:sz="0" w:space="0" w:color="auto"/>
                                                <w:left w:val="none" w:sz="0" w:space="0" w:color="auto"/>
                                                <w:bottom w:val="none" w:sz="0" w:space="0" w:color="auto"/>
                                                <w:right w:val="none" w:sz="0" w:space="0" w:color="auto"/>
                                              </w:divBdr>
                                              <w:divsChild>
                                                <w:div w:id="144514987">
                                                  <w:marLeft w:val="0"/>
                                                  <w:marRight w:val="0"/>
                                                  <w:marTop w:val="0"/>
                                                  <w:marBottom w:val="0"/>
                                                  <w:divBdr>
                                                    <w:top w:val="none" w:sz="0" w:space="0" w:color="auto"/>
                                                    <w:left w:val="none" w:sz="0" w:space="0" w:color="auto"/>
                                                    <w:bottom w:val="none" w:sz="0" w:space="0" w:color="auto"/>
                                                    <w:right w:val="none" w:sz="0" w:space="0" w:color="auto"/>
                                                  </w:divBdr>
                                                  <w:divsChild>
                                                    <w:div w:id="1386836366">
                                                      <w:marLeft w:val="0"/>
                                                      <w:marRight w:val="0"/>
                                                      <w:marTop w:val="0"/>
                                                      <w:marBottom w:val="0"/>
                                                      <w:divBdr>
                                                        <w:top w:val="none" w:sz="0" w:space="0" w:color="auto"/>
                                                        <w:left w:val="none" w:sz="0" w:space="0" w:color="auto"/>
                                                        <w:bottom w:val="none" w:sz="0" w:space="0" w:color="auto"/>
                                                        <w:right w:val="none" w:sz="0" w:space="0" w:color="auto"/>
                                                      </w:divBdr>
                                                      <w:divsChild>
                                                        <w:div w:id="851917039">
                                                          <w:marLeft w:val="0"/>
                                                          <w:marRight w:val="0"/>
                                                          <w:marTop w:val="0"/>
                                                          <w:marBottom w:val="0"/>
                                                          <w:divBdr>
                                                            <w:top w:val="none" w:sz="0" w:space="0" w:color="auto"/>
                                                            <w:left w:val="none" w:sz="0" w:space="0" w:color="auto"/>
                                                            <w:bottom w:val="none" w:sz="0" w:space="0" w:color="auto"/>
                                                            <w:right w:val="none" w:sz="0" w:space="0" w:color="auto"/>
                                                          </w:divBdr>
                                                          <w:divsChild>
                                                            <w:div w:id="1159073551">
                                                              <w:marLeft w:val="0"/>
                                                              <w:marRight w:val="0"/>
                                                              <w:marTop w:val="0"/>
                                                              <w:marBottom w:val="0"/>
                                                              <w:divBdr>
                                                                <w:top w:val="none" w:sz="0" w:space="0" w:color="auto"/>
                                                                <w:left w:val="none" w:sz="0" w:space="0" w:color="auto"/>
                                                                <w:bottom w:val="none" w:sz="0" w:space="0" w:color="auto"/>
                                                                <w:right w:val="none" w:sz="0" w:space="0" w:color="auto"/>
                                                              </w:divBdr>
                                                              <w:divsChild>
                                                                <w:div w:id="2144618319">
                                                                  <w:marLeft w:val="0"/>
                                                                  <w:marRight w:val="0"/>
                                                                  <w:marTop w:val="0"/>
                                                                  <w:marBottom w:val="0"/>
                                                                  <w:divBdr>
                                                                    <w:top w:val="none" w:sz="0" w:space="0" w:color="auto"/>
                                                                    <w:left w:val="none" w:sz="0" w:space="0" w:color="auto"/>
                                                                    <w:bottom w:val="none" w:sz="0" w:space="0" w:color="auto"/>
                                                                    <w:right w:val="none" w:sz="0" w:space="0" w:color="auto"/>
                                                                  </w:divBdr>
                                                                  <w:divsChild>
                                                                    <w:div w:id="1249539107">
                                                                      <w:marLeft w:val="0"/>
                                                                      <w:marRight w:val="0"/>
                                                                      <w:marTop w:val="0"/>
                                                                      <w:marBottom w:val="0"/>
                                                                      <w:divBdr>
                                                                        <w:top w:val="none" w:sz="0" w:space="0" w:color="auto"/>
                                                                        <w:left w:val="none" w:sz="0" w:space="0" w:color="auto"/>
                                                                        <w:bottom w:val="none" w:sz="0" w:space="0" w:color="auto"/>
                                                                        <w:right w:val="none" w:sz="0" w:space="0" w:color="auto"/>
                                                                      </w:divBdr>
                                                                      <w:divsChild>
                                                                        <w:div w:id="2097089866">
                                                                          <w:marLeft w:val="0"/>
                                                                          <w:marRight w:val="0"/>
                                                                          <w:marTop w:val="0"/>
                                                                          <w:marBottom w:val="0"/>
                                                                          <w:divBdr>
                                                                            <w:top w:val="none" w:sz="0" w:space="0" w:color="auto"/>
                                                                            <w:left w:val="none" w:sz="0" w:space="0" w:color="auto"/>
                                                                            <w:bottom w:val="none" w:sz="0" w:space="0" w:color="auto"/>
                                                                            <w:right w:val="none" w:sz="0" w:space="0" w:color="auto"/>
                                                                          </w:divBdr>
                                                                          <w:divsChild>
                                                                            <w:div w:id="1188762749">
                                                                              <w:marLeft w:val="0"/>
                                                                              <w:marRight w:val="0"/>
                                                                              <w:marTop w:val="0"/>
                                                                              <w:marBottom w:val="0"/>
                                                                              <w:divBdr>
                                                                                <w:top w:val="none" w:sz="0" w:space="0" w:color="auto"/>
                                                                                <w:left w:val="none" w:sz="0" w:space="0" w:color="auto"/>
                                                                                <w:bottom w:val="none" w:sz="0" w:space="0" w:color="auto"/>
                                                                                <w:right w:val="none" w:sz="0" w:space="0" w:color="auto"/>
                                                                              </w:divBdr>
                                                                              <w:divsChild>
                                                                                <w:div w:id="382022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image" Target="media/image7.w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4.bin"/><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6.w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footer" Target="footer2.xml"/><Relationship Id="rId10" Type="http://schemas.openxmlformats.org/officeDocument/2006/relationships/image" Target="media/image2.wmf"/><Relationship Id="rId19" Type="http://schemas.openxmlformats.org/officeDocument/2006/relationships/image" Target="media/image8.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BED579-A31C-47EC-8186-75566BB738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13</Pages>
  <Words>5256</Words>
  <Characters>28229</Characters>
  <Application>Microsoft Office Word</Application>
  <DocSecurity>0</DocSecurity>
  <Lines>576</Lines>
  <Paragraphs>325</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33160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MARTINEZ SORIANO Andres (DEVCO-EXT)</cp:lastModifiedBy>
  <cp:revision>7</cp:revision>
  <cp:lastPrinted>2016-12-20T10:57:00Z</cp:lastPrinted>
  <dcterms:created xsi:type="dcterms:W3CDTF">2018-10-18T14:35:00Z</dcterms:created>
  <dcterms:modified xsi:type="dcterms:W3CDTF">2019-07-12T16:46:00Z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ies>
</file>