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C96" w:rsidRDefault="00D40632" w:rsidP="00A71A4E">
      <w:pPr>
        <w:jc w:val="center"/>
        <w:rPr>
          <w:sz w:val="18"/>
          <w:szCs w:val="18"/>
        </w:rPr>
      </w:pPr>
      <w:r>
        <w:rPr>
          <w:sz w:val="18"/>
        </w:rPr>
        <w:t>Documento oficial que debe completar el Órgano de Contratación</w:t>
      </w:r>
    </w:p>
    <w:p w:rsidR="00D40632" w:rsidRPr="00A71A4E" w:rsidRDefault="00CB49C8" w:rsidP="00A71A4E">
      <w:pPr>
        <w:jc w:val="center"/>
        <w:rPr>
          <w:b/>
          <w:sz w:val="28"/>
          <w:szCs w:val="28"/>
        </w:rPr>
      </w:pPr>
      <w:r>
        <w:rPr>
          <w:b/>
          <w:sz w:val="28"/>
        </w:rPr>
        <w:t>ANUNCIO DE INFORMACIÓN PREVIA DE SERVICIOS</w:t>
      </w:r>
    </w:p>
    <w:p w:rsidR="00D40632" w:rsidRPr="00A71A4E" w:rsidRDefault="00B02224" w:rsidP="005A5C96">
      <w:pPr>
        <w:spacing w:before="120" w:after="240"/>
        <w:jc w:val="center"/>
        <w:rPr>
          <w:sz w:val="28"/>
          <w:szCs w:val="28"/>
        </w:rPr>
      </w:pPr>
      <w:r>
        <w:rPr>
          <w:rStyle w:val="Strong"/>
          <w:sz w:val="28"/>
        </w:rPr>
        <w:t>&lt;</w:t>
      </w:r>
      <w:r w:rsidR="00D40632" w:rsidRPr="00B02224">
        <w:rPr>
          <w:rStyle w:val="Strong"/>
          <w:sz w:val="28"/>
          <w:highlight w:val="yellow"/>
        </w:rPr>
        <w:t>Título del contrato</w:t>
      </w:r>
      <w:r>
        <w:rPr>
          <w:rStyle w:val="Strong"/>
          <w:sz w:val="28"/>
        </w:rPr>
        <w:t>&gt;</w:t>
      </w:r>
      <w:r w:rsidR="00D40632">
        <w:rPr>
          <w:rStyle w:val="Strong"/>
          <w:sz w:val="28"/>
          <w:szCs w:val="28"/>
        </w:rPr>
        <w:br/>
      </w:r>
      <w:r w:rsidRPr="00B02224">
        <w:rPr>
          <w:rStyle w:val="Strong"/>
          <w:b w:val="0"/>
          <w:sz w:val="28"/>
        </w:rPr>
        <w:t>&lt;</w:t>
      </w:r>
      <w:r w:rsidR="00D40632" w:rsidRPr="00B02224">
        <w:rPr>
          <w:rStyle w:val="Strong"/>
          <w:sz w:val="28"/>
          <w:highlight w:val="yellow"/>
        </w:rPr>
        <w:t xml:space="preserve">Lugar - </w:t>
      </w:r>
      <w:r w:rsidR="00D40632" w:rsidRPr="00B02224">
        <w:rPr>
          <w:rStyle w:val="Emphasis"/>
          <w:i w:val="0"/>
          <w:sz w:val="28"/>
          <w:highlight w:val="yellow"/>
        </w:rPr>
        <w:t>Zona o región y país o países</w:t>
      </w:r>
      <w:r>
        <w:rPr>
          <w:rStyle w:val="Emphasis"/>
          <w:i w:val="0"/>
          <w:sz w:val="28"/>
        </w:rPr>
        <w:t>&gt;</w:t>
      </w:r>
    </w:p>
    <w:p w:rsidR="00D40632" w:rsidRPr="00A8218E" w:rsidRDefault="005A5C96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>1.</w:t>
      </w:r>
      <w:r>
        <w:tab/>
      </w:r>
      <w:r>
        <w:rPr>
          <w:rStyle w:val="Strong"/>
          <w:sz w:val="22"/>
        </w:rPr>
        <w:t xml:space="preserve">Referencia de </w:t>
      </w:r>
      <w:r w:rsidR="00D93E6E">
        <w:rPr>
          <w:rStyle w:val="Strong"/>
          <w:sz w:val="22"/>
        </w:rPr>
        <w:t>p</w:t>
      </w:r>
      <w:r>
        <w:rPr>
          <w:rStyle w:val="Strong"/>
          <w:sz w:val="22"/>
        </w:rPr>
        <w:t>ublicación</w:t>
      </w:r>
    </w:p>
    <w:p w:rsidR="00D40632" w:rsidRPr="00A8218E" w:rsidRDefault="00D40632" w:rsidP="005A5C96">
      <w:pPr>
        <w:pStyle w:val="Blockquote"/>
        <w:ind w:left="426"/>
        <w:rPr>
          <w:sz w:val="22"/>
          <w:szCs w:val="22"/>
        </w:rPr>
      </w:pPr>
      <w:r>
        <w:rPr>
          <w:sz w:val="22"/>
        </w:rPr>
        <w:t>&lt;</w:t>
      </w:r>
      <w:r w:rsidRPr="00B02224">
        <w:rPr>
          <w:sz w:val="22"/>
          <w:highlight w:val="yellow"/>
        </w:rPr>
        <w:t>Referencia de publicación</w:t>
      </w:r>
      <w:r>
        <w:rPr>
          <w:sz w:val="22"/>
        </w:rPr>
        <w:t xml:space="preserve">&gt; 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2. </w:t>
      </w:r>
      <w:r>
        <w:tab/>
      </w:r>
      <w:r>
        <w:rPr>
          <w:rStyle w:val="Strong"/>
          <w:sz w:val="22"/>
        </w:rPr>
        <w:t>Procedimiento</w:t>
      </w:r>
    </w:p>
    <w:p w:rsidR="00D40632" w:rsidRPr="00A8218E" w:rsidRDefault="003425D3" w:rsidP="005A5C96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B02224">
        <w:rPr>
          <w:sz w:val="22"/>
          <w:highlight w:val="yellow"/>
        </w:rPr>
        <w:t>Restringido</w:t>
      </w:r>
      <w:r>
        <w:rPr>
          <w:sz w:val="22"/>
        </w:rPr>
        <w:t xml:space="preserve"> &gt;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3. </w:t>
      </w:r>
      <w:r>
        <w:tab/>
      </w:r>
      <w:r>
        <w:rPr>
          <w:rStyle w:val="Strong"/>
          <w:sz w:val="22"/>
        </w:rPr>
        <w:t>Título del programa</w:t>
      </w:r>
    </w:p>
    <w:p w:rsidR="00E668C2" w:rsidRPr="00C66C83" w:rsidRDefault="00E668C2" w:rsidP="00EF3EEB">
      <w:pPr>
        <w:pStyle w:val="PRAGHeading2"/>
        <w:numPr>
          <w:ilvl w:val="0"/>
          <w:numId w:val="0"/>
        </w:numPr>
        <w:ind w:left="426"/>
      </w:pPr>
      <w:r>
        <w:t xml:space="preserve">&lt; </w:t>
      </w:r>
      <w:r w:rsidRPr="00B02224">
        <w:rPr>
          <w:rStyle w:val="Emphasis"/>
          <w:i w:val="0"/>
          <w:sz w:val="22"/>
          <w:highlight w:val="yellow"/>
        </w:rPr>
        <w:t>Especif</w:t>
      </w:r>
      <w:r w:rsidR="00B02224" w:rsidRPr="00B02224">
        <w:rPr>
          <w:rStyle w:val="Emphasis"/>
          <w:i w:val="0"/>
          <w:sz w:val="22"/>
          <w:highlight w:val="yellow"/>
        </w:rPr>
        <w:t>ique</w:t>
      </w:r>
      <w:r w:rsidRPr="00B02224">
        <w:rPr>
          <w:rStyle w:val="Emphasis"/>
          <w:i w:val="0"/>
          <w:sz w:val="22"/>
          <w:highlight w:val="yellow"/>
        </w:rPr>
        <w:t xml:space="preserve"> el título del programa mencionado en el </w:t>
      </w:r>
      <w:r w:rsidR="00E07251" w:rsidRPr="00B02224">
        <w:rPr>
          <w:rStyle w:val="Emphasis"/>
          <w:i w:val="0"/>
          <w:sz w:val="22"/>
          <w:highlight w:val="yellow"/>
        </w:rPr>
        <w:t>convenio</w:t>
      </w:r>
      <w:r w:rsidRPr="00B02224">
        <w:rPr>
          <w:rStyle w:val="Emphasis"/>
          <w:i w:val="0"/>
          <w:sz w:val="22"/>
          <w:highlight w:val="yellow"/>
        </w:rPr>
        <w:t xml:space="preserve"> o decisión de financiación</w:t>
      </w:r>
      <w:r w:rsidR="005E034B">
        <w:rPr>
          <w:rStyle w:val="Emphasis"/>
          <w:i w:val="0"/>
          <w:sz w:val="22"/>
        </w:rPr>
        <w:t xml:space="preserve"> </w:t>
      </w:r>
      <w:r>
        <w:t>&gt;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4. </w:t>
      </w:r>
      <w:r>
        <w:tab/>
      </w:r>
      <w:r>
        <w:rPr>
          <w:rStyle w:val="Strong"/>
          <w:sz w:val="22"/>
        </w:rPr>
        <w:t>Financiación</w:t>
      </w:r>
    </w:p>
    <w:p w:rsidR="00D40632" w:rsidRPr="00A8218E" w:rsidRDefault="00D40632" w:rsidP="00705E9C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Pr="00B02224">
        <w:rPr>
          <w:sz w:val="22"/>
          <w:highlight w:val="yellow"/>
        </w:rPr>
        <w:t>Lín</w:t>
      </w:r>
      <w:r w:rsidR="00B02224" w:rsidRPr="00B02224">
        <w:rPr>
          <w:sz w:val="22"/>
          <w:highlight w:val="yellow"/>
        </w:rPr>
        <w:t xml:space="preserve">ea presupuestaria / </w:t>
      </w:r>
      <w:r w:rsidR="00705E9C">
        <w:rPr>
          <w:sz w:val="22"/>
          <w:highlight w:val="yellow"/>
        </w:rPr>
        <w:t>c</w:t>
      </w:r>
      <w:r w:rsidR="00D93E6E">
        <w:rPr>
          <w:sz w:val="22"/>
          <w:highlight w:val="yellow"/>
        </w:rPr>
        <w:t>onvenio</w:t>
      </w:r>
      <w:r w:rsidR="00B02224" w:rsidRPr="00B02224">
        <w:rPr>
          <w:sz w:val="22"/>
          <w:highlight w:val="yellow"/>
        </w:rPr>
        <w:t xml:space="preserve"> de f</w:t>
      </w:r>
      <w:r w:rsidRPr="00B02224">
        <w:rPr>
          <w:sz w:val="22"/>
          <w:highlight w:val="yellow"/>
        </w:rPr>
        <w:t xml:space="preserve">inanciación / </w:t>
      </w:r>
      <w:r w:rsidR="00705E9C">
        <w:rPr>
          <w:sz w:val="22"/>
          <w:highlight w:val="yellow"/>
        </w:rPr>
        <w:t>o</w:t>
      </w:r>
      <w:r w:rsidRPr="00B02224">
        <w:rPr>
          <w:sz w:val="22"/>
          <w:highlight w:val="yellow"/>
        </w:rPr>
        <w:t>tros</w:t>
      </w:r>
      <w:r>
        <w:rPr>
          <w:sz w:val="22"/>
        </w:rPr>
        <w:t xml:space="preserve"> &gt;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5. </w:t>
      </w:r>
      <w:r>
        <w:tab/>
      </w:r>
      <w:r>
        <w:rPr>
          <w:rStyle w:val="Strong"/>
          <w:sz w:val="22"/>
        </w:rPr>
        <w:t>Órgano de Contratación</w:t>
      </w:r>
    </w:p>
    <w:p w:rsidR="00D40632" w:rsidRDefault="00B02224" w:rsidP="005E034B">
      <w:p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  <w:highlight w:val="yellow"/>
        </w:rPr>
        <w:t>[En caso de gestión directa</w:t>
      </w:r>
      <w:r w:rsidR="00001499">
        <w:rPr>
          <w:sz w:val="22"/>
          <w:szCs w:val="22"/>
          <w:highlight w:val="yellow"/>
        </w:rPr>
        <w:t xml:space="preserve"> en interés exclusivo del (de los) país(es) socio(s)</w:t>
      </w:r>
      <w:r>
        <w:rPr>
          <w:sz w:val="22"/>
          <w:szCs w:val="22"/>
          <w:highlight w:val="yellow"/>
        </w:rPr>
        <w:t>:</w:t>
      </w:r>
      <w:r w:rsidRPr="00A8218E" w:rsidDel="001E5084">
        <w:rPr>
          <w:sz w:val="22"/>
          <w:szCs w:val="22"/>
          <w:highlight w:val="yellow"/>
        </w:rPr>
        <w:t xml:space="preserve"> </w:t>
      </w:r>
      <w:r>
        <w:rPr>
          <w:sz w:val="22"/>
          <w:highlight w:val="lightGray"/>
        </w:rPr>
        <w:t>L</w:t>
      </w:r>
      <w:r w:rsidR="00D40632" w:rsidRPr="00B02224">
        <w:rPr>
          <w:sz w:val="22"/>
          <w:highlight w:val="lightGray"/>
        </w:rPr>
        <w:t>a Unión Europea, representada por la Comisión Europea,</w:t>
      </w:r>
      <w:r w:rsidR="00602D0E" w:rsidRPr="00B02224">
        <w:rPr>
          <w:rStyle w:val="Emphasis"/>
          <w:i w:val="0"/>
          <w:sz w:val="22"/>
          <w:highlight w:val="lightGray"/>
        </w:rPr>
        <w:t xml:space="preserve"> </w:t>
      </w:r>
      <w:r>
        <w:rPr>
          <w:rStyle w:val="Emphasis"/>
          <w:i w:val="0"/>
          <w:sz w:val="22"/>
          <w:highlight w:val="lightGray"/>
        </w:rPr>
        <w:t>en nombre y por cuenta</w:t>
      </w:r>
      <w:r w:rsidRPr="00B02224">
        <w:rPr>
          <w:rStyle w:val="Emphasis"/>
          <w:i w:val="0"/>
          <w:sz w:val="22"/>
          <w:szCs w:val="22"/>
          <w:highlight w:val="lightGray"/>
        </w:rPr>
        <w:t xml:space="preserve"> </w:t>
      </w:r>
      <w:r w:rsidR="00D93E6E" w:rsidRPr="00D93E6E">
        <w:rPr>
          <w:highlight w:val="lightGray"/>
        </w:rPr>
        <w:t>de</w:t>
      </w:r>
      <w:r w:rsidRPr="00B02224">
        <w:rPr>
          <w:rStyle w:val="Emphasis"/>
          <w:i w:val="0"/>
          <w:sz w:val="22"/>
          <w:szCs w:val="22"/>
          <w:highlight w:val="lightGray"/>
        </w:rPr>
        <w:t>&lt;</w:t>
      </w:r>
      <w:r>
        <w:rPr>
          <w:rStyle w:val="Emphasis"/>
          <w:i w:val="0"/>
          <w:sz w:val="22"/>
          <w:szCs w:val="22"/>
          <w:highlight w:val="yellow"/>
        </w:rPr>
        <w:t xml:space="preserve">país socio </w:t>
      </w:r>
      <w:r w:rsidRPr="00CE3776">
        <w:rPr>
          <w:sz w:val="22"/>
          <w:szCs w:val="22"/>
          <w:highlight w:val="yellow"/>
        </w:rPr>
        <w:t>/</w:t>
      </w:r>
      <w:r>
        <w:rPr>
          <w:sz w:val="22"/>
          <w:szCs w:val="22"/>
          <w:highlight w:val="yellow"/>
        </w:rPr>
        <w:t xml:space="preserve"> países socios</w:t>
      </w:r>
      <w:r w:rsidRPr="00CE3776">
        <w:rPr>
          <w:sz w:val="22"/>
          <w:szCs w:val="22"/>
          <w:highlight w:val="lightGray"/>
        </w:rPr>
        <w:t>&gt;</w:t>
      </w:r>
      <w:r>
        <w:rPr>
          <w:sz w:val="22"/>
          <w:szCs w:val="22"/>
        </w:rPr>
        <w:t>]</w:t>
      </w:r>
    </w:p>
    <w:p w:rsidR="000243F3" w:rsidRPr="00C26AD4" w:rsidRDefault="000243F3" w:rsidP="005E034B">
      <w:pPr>
        <w:spacing w:before="120" w:after="0"/>
        <w:ind w:left="425"/>
        <w:rPr>
          <w:sz w:val="22"/>
          <w:highlight w:val="lightGray"/>
        </w:rPr>
      </w:pPr>
      <w:r w:rsidRPr="000243F3">
        <w:rPr>
          <w:sz w:val="22"/>
          <w:szCs w:val="22"/>
        </w:rPr>
        <w:t>[</w:t>
      </w:r>
      <w:r>
        <w:rPr>
          <w:sz w:val="22"/>
          <w:szCs w:val="22"/>
          <w:highlight w:val="yellow"/>
        </w:rPr>
        <w:t xml:space="preserve">En caso de </w:t>
      </w:r>
      <w:r w:rsidRPr="000243F3">
        <w:rPr>
          <w:sz w:val="22"/>
          <w:szCs w:val="22"/>
          <w:highlight w:val="yellow"/>
        </w:rPr>
        <w:t xml:space="preserve">gestión directa en interés mixto de la UE y del </w:t>
      </w:r>
      <w:r>
        <w:rPr>
          <w:sz w:val="22"/>
          <w:szCs w:val="22"/>
          <w:highlight w:val="yellow"/>
        </w:rPr>
        <w:t xml:space="preserve">(de los) </w:t>
      </w:r>
      <w:r w:rsidRPr="000243F3">
        <w:rPr>
          <w:sz w:val="22"/>
          <w:szCs w:val="22"/>
          <w:highlight w:val="yellow"/>
        </w:rPr>
        <w:t>país</w:t>
      </w:r>
      <w:r>
        <w:rPr>
          <w:sz w:val="22"/>
          <w:szCs w:val="22"/>
          <w:highlight w:val="yellow"/>
        </w:rPr>
        <w:t>(</w:t>
      </w:r>
      <w:r w:rsidRPr="000243F3">
        <w:rPr>
          <w:sz w:val="22"/>
          <w:szCs w:val="22"/>
          <w:highlight w:val="yellow"/>
        </w:rPr>
        <w:t>es</w:t>
      </w:r>
      <w:r>
        <w:rPr>
          <w:sz w:val="22"/>
          <w:szCs w:val="22"/>
          <w:highlight w:val="yellow"/>
        </w:rPr>
        <w:t>)</w:t>
      </w:r>
      <w:r w:rsidRPr="000243F3">
        <w:rPr>
          <w:sz w:val="22"/>
          <w:szCs w:val="22"/>
          <w:highlight w:val="yellow"/>
        </w:rPr>
        <w:t xml:space="preserve"> socio</w:t>
      </w:r>
      <w:r>
        <w:rPr>
          <w:sz w:val="22"/>
          <w:szCs w:val="22"/>
          <w:highlight w:val="yellow"/>
        </w:rPr>
        <w:t>(</w:t>
      </w:r>
      <w:r w:rsidRPr="000243F3">
        <w:rPr>
          <w:sz w:val="22"/>
          <w:szCs w:val="22"/>
          <w:highlight w:val="yellow"/>
        </w:rPr>
        <w:t>s</w:t>
      </w:r>
      <w:r w:rsidRPr="008E165A">
        <w:rPr>
          <w:sz w:val="22"/>
          <w:szCs w:val="22"/>
          <w:highlight w:val="yellow"/>
        </w:rPr>
        <w:t xml:space="preserve">): </w:t>
      </w:r>
      <w:r w:rsidRPr="008E165A">
        <w:rPr>
          <w:sz w:val="22"/>
          <w:highlight w:val="lightGray"/>
        </w:rPr>
        <w:t>Unión Europea,</w:t>
      </w:r>
      <w:r w:rsidRPr="00C26AD4">
        <w:rPr>
          <w:sz w:val="22"/>
          <w:highlight w:val="lightGray"/>
        </w:rPr>
        <w:t xml:space="preserve"> representada por la Comisión Europea]</w:t>
      </w:r>
    </w:p>
    <w:p w:rsidR="00D40632" w:rsidRPr="00B02224" w:rsidRDefault="00B02224" w:rsidP="005E034B">
      <w:pPr>
        <w:spacing w:before="120" w:after="120"/>
        <w:ind w:left="426"/>
        <w:rPr>
          <w:sz w:val="22"/>
          <w:szCs w:val="22"/>
        </w:rPr>
      </w:pPr>
      <w:r w:rsidRPr="00B02224">
        <w:rPr>
          <w:sz w:val="22"/>
          <w:szCs w:val="22"/>
          <w:highlight w:val="yellow"/>
        </w:rPr>
        <w:t>[En caso de gestión indirecta</w:t>
      </w:r>
      <w:r w:rsidRPr="00B02224">
        <w:rPr>
          <w:sz w:val="22"/>
          <w:szCs w:val="22"/>
        </w:rPr>
        <w:t xml:space="preserve">: </w:t>
      </w:r>
      <w:r w:rsidRPr="00B02224">
        <w:rPr>
          <w:sz w:val="22"/>
          <w:szCs w:val="22"/>
          <w:highlight w:val="lightGray"/>
        </w:rPr>
        <w:t>&lt;</w:t>
      </w:r>
      <w:r w:rsidRPr="00B02224">
        <w:rPr>
          <w:sz w:val="22"/>
          <w:szCs w:val="22"/>
          <w:highlight w:val="yellow"/>
        </w:rPr>
        <w:t>El país socio</w:t>
      </w:r>
      <w:r w:rsidRPr="00B02224">
        <w:rPr>
          <w:sz w:val="22"/>
          <w:szCs w:val="22"/>
          <w:highlight w:val="lightGray"/>
        </w:rPr>
        <w:t>&gt;]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6. </w:t>
      </w:r>
      <w:r>
        <w:tab/>
      </w:r>
      <w:r>
        <w:rPr>
          <w:rStyle w:val="Strong"/>
          <w:sz w:val="22"/>
        </w:rPr>
        <w:t>Naturaleza del contrato</w:t>
      </w:r>
    </w:p>
    <w:p w:rsidR="00D40632" w:rsidRPr="00A8218E" w:rsidRDefault="00B02224" w:rsidP="005A5C96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>[</w:t>
      </w:r>
      <w:r w:rsidRPr="00B02224">
        <w:rPr>
          <w:sz w:val="22"/>
          <w:highlight w:val="lightGray"/>
        </w:rPr>
        <w:t xml:space="preserve">Precio </w:t>
      </w:r>
      <w:r w:rsidR="00C13046">
        <w:rPr>
          <w:sz w:val="22"/>
          <w:highlight w:val="lightGray"/>
        </w:rPr>
        <w:t>total</w:t>
      </w:r>
      <w:r>
        <w:rPr>
          <w:sz w:val="22"/>
        </w:rPr>
        <w:t>]</w:t>
      </w:r>
      <w:r w:rsidR="00D40632">
        <w:rPr>
          <w:sz w:val="22"/>
        </w:rPr>
        <w:t xml:space="preserve"> </w:t>
      </w:r>
      <w:r>
        <w:rPr>
          <w:sz w:val="22"/>
        </w:rPr>
        <w:t>[</w:t>
      </w:r>
      <w:r>
        <w:rPr>
          <w:sz w:val="22"/>
          <w:highlight w:val="lightGray"/>
        </w:rPr>
        <w:t>B</w:t>
      </w:r>
      <w:r w:rsidRPr="00B02224">
        <w:rPr>
          <w:sz w:val="22"/>
          <w:highlight w:val="lightGray"/>
        </w:rPr>
        <w:t>asado en honorarios</w:t>
      </w:r>
      <w:r>
        <w:rPr>
          <w:sz w:val="22"/>
        </w:rPr>
        <w:t>]</w:t>
      </w:r>
    </w:p>
    <w:p w:rsidR="005A5C96" w:rsidRDefault="00D40632" w:rsidP="005A5C96">
      <w:pPr>
        <w:spacing w:before="120" w:after="0"/>
        <w:ind w:left="425" w:hanging="425"/>
        <w:outlineLvl w:val="0"/>
        <w:rPr>
          <w:rStyle w:val="Strong"/>
          <w:sz w:val="22"/>
          <w:szCs w:val="22"/>
        </w:rPr>
      </w:pPr>
      <w:r>
        <w:rPr>
          <w:rStyle w:val="Strong"/>
          <w:sz w:val="22"/>
        </w:rPr>
        <w:t xml:space="preserve">7. </w:t>
      </w:r>
      <w:r>
        <w:tab/>
      </w:r>
      <w:r>
        <w:rPr>
          <w:rStyle w:val="Strong"/>
          <w:sz w:val="22"/>
        </w:rPr>
        <w:t>Descripción del contrato</w:t>
      </w:r>
    </w:p>
    <w:p w:rsidR="00D40632" w:rsidRPr="00ED2C34" w:rsidRDefault="00D40632" w:rsidP="005A5C96">
      <w:pPr>
        <w:spacing w:before="120" w:after="120"/>
        <w:ind w:left="426"/>
        <w:outlineLvl w:val="0"/>
        <w:rPr>
          <w:sz w:val="22"/>
          <w:szCs w:val="22"/>
        </w:rPr>
      </w:pPr>
      <w:r>
        <w:rPr>
          <w:sz w:val="22"/>
        </w:rPr>
        <w:t xml:space="preserve"> </w:t>
      </w:r>
      <w:r w:rsidRPr="00B02224">
        <w:rPr>
          <w:sz w:val="22"/>
          <w:highlight w:val="yellow"/>
        </w:rPr>
        <w:t>Se recomienda un máximo de 5 líneas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8. </w:t>
      </w:r>
      <w:r>
        <w:tab/>
      </w:r>
      <w:r>
        <w:rPr>
          <w:rStyle w:val="Strong"/>
          <w:sz w:val="22"/>
        </w:rPr>
        <w:t>Presupuesto indicativo</w:t>
      </w:r>
    </w:p>
    <w:p w:rsidR="00D40632" w:rsidRPr="00B02224" w:rsidRDefault="00D93E6E" w:rsidP="005E034B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FB6719" w:rsidRPr="00B02224">
        <w:rPr>
          <w:sz w:val="22"/>
          <w:szCs w:val="22"/>
          <w:highlight w:val="yellow"/>
        </w:rPr>
        <w:t>Importe</w:t>
      </w:r>
      <w:r w:rsidRPr="00B02224">
        <w:rPr>
          <w:sz w:val="22"/>
          <w:szCs w:val="22"/>
        </w:rPr>
        <w:t xml:space="preserve">&gt; </w:t>
      </w:r>
      <w:r w:rsidR="00B02224" w:rsidRPr="00B02224">
        <w:rPr>
          <w:sz w:val="22"/>
          <w:szCs w:val="22"/>
        </w:rPr>
        <w:t>[</w:t>
      </w:r>
      <w:r w:rsidR="00B02224" w:rsidRPr="00B02224">
        <w:rPr>
          <w:sz w:val="22"/>
          <w:szCs w:val="22"/>
          <w:highlight w:val="lightGray"/>
        </w:rPr>
        <w:t>EUR</w:t>
      </w:r>
      <w:r w:rsidR="00B02224" w:rsidRPr="00B02224">
        <w:rPr>
          <w:sz w:val="22"/>
          <w:szCs w:val="22"/>
        </w:rPr>
        <w:t xml:space="preserve">] </w:t>
      </w:r>
      <w:r w:rsidR="00B02224" w:rsidRPr="00B02224">
        <w:rPr>
          <w:sz w:val="22"/>
          <w:szCs w:val="22"/>
          <w:highlight w:val="lightGray"/>
        </w:rPr>
        <w:t>[&lt;</w:t>
      </w:r>
      <w:r w:rsidR="00B02224" w:rsidRPr="00B02224">
        <w:rPr>
          <w:sz w:val="22"/>
          <w:szCs w:val="22"/>
          <w:highlight w:val="yellow"/>
        </w:rPr>
        <w:t>Código ISO de la moneda nacional</w:t>
      </w:r>
      <w:r w:rsidR="00B02224" w:rsidRPr="00B02224">
        <w:rPr>
          <w:sz w:val="22"/>
          <w:szCs w:val="22"/>
          <w:highlight w:val="lightGray"/>
        </w:rPr>
        <w:t>&gt;</w:t>
      </w:r>
      <w:r w:rsidR="005E034B" w:rsidRPr="005E034B">
        <w:rPr>
          <w:sz w:val="22"/>
          <w:szCs w:val="22"/>
          <w:highlight w:val="yellow"/>
        </w:rPr>
        <w:t xml:space="preserve"> </w:t>
      </w:r>
      <w:r w:rsidR="00B02224" w:rsidRPr="00B02224">
        <w:rPr>
          <w:sz w:val="22"/>
          <w:szCs w:val="22"/>
          <w:highlight w:val="yellow"/>
        </w:rPr>
        <w:t xml:space="preserve">únicamente </w:t>
      </w:r>
      <w:r w:rsidR="005E034B" w:rsidRPr="00867D7E">
        <w:rPr>
          <w:sz w:val="22"/>
          <w:szCs w:val="22"/>
          <w:highlight w:val="yellow"/>
        </w:rPr>
        <w:t>en gestión indirecta y en los siguientes casos</w:t>
      </w:r>
      <w:r w:rsidR="005E034B" w:rsidRPr="00C71090">
        <w:rPr>
          <w:sz w:val="22"/>
          <w:szCs w:val="22"/>
          <w:highlight w:val="yellow"/>
        </w:rPr>
        <w:t xml:space="preserve">: </w:t>
      </w:r>
      <w:r w:rsidR="005E034B" w:rsidRPr="00867D7E">
        <w:rPr>
          <w:sz w:val="22"/>
          <w:szCs w:val="22"/>
          <w:highlight w:val="yellow"/>
        </w:rPr>
        <w:t>i) cuando por imposiciones locales o legales sea preciso, excepcionalmente, utilizar la moneda nacional; ii) en su caso, para los contratos en el marco del componente de anticipos de un</w:t>
      </w:r>
      <w:r w:rsidR="005E034B" w:rsidRPr="00C71090">
        <w:rPr>
          <w:sz w:val="22"/>
          <w:szCs w:val="22"/>
          <w:highlight w:val="yellow"/>
        </w:rPr>
        <w:t xml:space="preserve"> </w:t>
      </w:r>
      <w:r w:rsidR="005E034B" w:rsidRPr="00867D7E">
        <w:rPr>
          <w:sz w:val="22"/>
          <w:szCs w:val="22"/>
          <w:highlight w:val="yellow"/>
        </w:rPr>
        <w:t>presupuesto</w:t>
      </w:r>
      <w:r w:rsidR="005E034B" w:rsidRPr="00867D7E">
        <w:rPr>
          <w:sz w:val="22"/>
          <w:szCs w:val="22"/>
          <w:highlight w:val="yellow"/>
        </w:rPr>
        <w:noBreakHyphen/>
        <w:t>programa</w:t>
      </w:r>
      <w:r w:rsidR="005E034B" w:rsidRPr="00C71090">
        <w:rPr>
          <w:sz w:val="22"/>
          <w:szCs w:val="22"/>
          <w:highlight w:val="yellow"/>
        </w:rPr>
        <w:t>]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9. </w:t>
      </w:r>
      <w:r>
        <w:tab/>
      </w:r>
      <w:r>
        <w:rPr>
          <w:rStyle w:val="Strong"/>
          <w:sz w:val="22"/>
        </w:rPr>
        <w:t>Calendario de publicación previsto del anuncio de contrato</w:t>
      </w:r>
    </w:p>
    <w:p w:rsidR="00D40632" w:rsidRPr="00A8218E" w:rsidRDefault="00D40632" w:rsidP="005A5C96">
      <w:pPr>
        <w:pStyle w:val="Blockquote"/>
        <w:spacing w:before="120" w:after="120"/>
        <w:ind w:left="426" w:right="357"/>
        <w:rPr>
          <w:sz w:val="22"/>
          <w:szCs w:val="22"/>
        </w:rPr>
      </w:pPr>
      <w:r>
        <w:rPr>
          <w:sz w:val="22"/>
        </w:rPr>
        <w:t xml:space="preserve">&lt; </w:t>
      </w:r>
      <w:r w:rsidRPr="00B02224">
        <w:rPr>
          <w:sz w:val="22"/>
          <w:highlight w:val="yellow"/>
        </w:rPr>
        <w:t>Especif</w:t>
      </w:r>
      <w:r w:rsidR="00B02224" w:rsidRPr="00B02224">
        <w:rPr>
          <w:sz w:val="22"/>
          <w:highlight w:val="yellow"/>
        </w:rPr>
        <w:t>ique</w:t>
      </w:r>
      <w:r>
        <w:rPr>
          <w:sz w:val="22"/>
        </w:rPr>
        <w:t xml:space="preserve"> &gt;</w:t>
      </w:r>
    </w:p>
    <w:p w:rsidR="00D40632" w:rsidRPr="00A8218E" w:rsidRDefault="00D40632" w:rsidP="005A5C96">
      <w:pPr>
        <w:spacing w:before="120" w:after="0"/>
        <w:ind w:left="426" w:hanging="426"/>
        <w:outlineLvl w:val="0"/>
        <w:rPr>
          <w:sz w:val="22"/>
          <w:szCs w:val="22"/>
        </w:rPr>
      </w:pPr>
      <w:r>
        <w:rPr>
          <w:rStyle w:val="Strong"/>
          <w:sz w:val="22"/>
        </w:rPr>
        <w:t xml:space="preserve">10. </w:t>
      </w:r>
      <w:r>
        <w:tab/>
      </w:r>
      <w:r>
        <w:rPr>
          <w:rStyle w:val="Strong"/>
          <w:sz w:val="22"/>
        </w:rPr>
        <w:t>Información adicional</w:t>
      </w:r>
    </w:p>
    <w:p w:rsidR="00D40632" w:rsidRPr="00A8218E" w:rsidRDefault="00D40632" w:rsidP="005E034B">
      <w:pPr>
        <w:pStyle w:val="Blockquote"/>
        <w:tabs>
          <w:tab w:val="center" w:pos="4713"/>
        </w:tabs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 w:rsidR="00E07251" w:rsidRPr="00B02224">
        <w:rPr>
          <w:sz w:val="22"/>
          <w:highlight w:val="yellow"/>
        </w:rPr>
        <w:t>Si procede</w:t>
      </w:r>
      <w:r>
        <w:rPr>
          <w:sz w:val="22"/>
        </w:rPr>
        <w:t xml:space="preserve"> &gt;</w:t>
      </w:r>
      <w:r w:rsidR="005E034B">
        <w:rPr>
          <w:sz w:val="22"/>
        </w:rPr>
        <w:tab/>
      </w:r>
    </w:p>
    <w:p w:rsidR="00D40632" w:rsidRPr="00A8218E" w:rsidRDefault="00D40632" w:rsidP="00C26AD4">
      <w:pPr>
        <w:spacing w:before="120" w:after="120"/>
        <w:ind w:left="425" w:hanging="425"/>
        <w:outlineLvl w:val="0"/>
        <w:rPr>
          <w:sz w:val="22"/>
          <w:szCs w:val="22"/>
        </w:rPr>
      </w:pPr>
      <w:r>
        <w:rPr>
          <w:rStyle w:val="Strong"/>
          <w:sz w:val="22"/>
        </w:rPr>
        <w:lastRenderedPageBreak/>
        <w:t xml:space="preserve">11. </w:t>
      </w:r>
      <w:r>
        <w:tab/>
      </w:r>
      <w:r w:rsidR="00C26AD4">
        <w:rPr>
          <w:rStyle w:val="Strong"/>
          <w:sz w:val="22"/>
        </w:rPr>
        <w:t xml:space="preserve">Base </w:t>
      </w:r>
      <w:r>
        <w:rPr>
          <w:rStyle w:val="Strong"/>
          <w:sz w:val="22"/>
        </w:rPr>
        <w:t>jurídic</w:t>
      </w:r>
      <w:r w:rsidR="00C26AD4">
        <w:rPr>
          <w:rStyle w:val="Strong"/>
          <w:sz w:val="22"/>
        </w:rPr>
        <w:t>a</w:t>
      </w:r>
      <w:r>
        <w:rPr>
          <w:rStyle w:val="FootnoteReference"/>
          <w:b/>
          <w:sz w:val="22"/>
        </w:rPr>
        <w:footnoteReference w:id="1"/>
      </w:r>
    </w:p>
    <w:p w:rsidR="00812333" w:rsidRDefault="00812333" w:rsidP="00705E9C">
      <w:pPr>
        <w:pStyle w:val="Blockquote"/>
        <w:spacing w:before="0" w:after="0"/>
        <w:ind w:left="425" w:right="357"/>
        <w:jc w:val="both"/>
        <w:rPr>
          <w:sz w:val="22"/>
        </w:rPr>
      </w:pPr>
      <w:r>
        <w:rPr>
          <w:sz w:val="22"/>
        </w:rPr>
        <w:t>[</w:t>
      </w:r>
      <w:r>
        <w:rPr>
          <w:sz w:val="22"/>
          <w:highlight w:val="yellow"/>
        </w:rPr>
        <w:t>P</w:t>
      </w:r>
      <w:r w:rsidR="000243F3">
        <w:rPr>
          <w:sz w:val="22"/>
          <w:highlight w:val="yellow"/>
        </w:rPr>
        <w:t>resupuesto general de la Unión</w:t>
      </w:r>
      <w:r>
        <w:rPr>
          <w:sz w:val="22"/>
          <w:highlight w:val="yellow"/>
        </w:rPr>
        <w:t>: para</w:t>
      </w:r>
      <w:r w:rsidR="00E07251">
        <w:rPr>
          <w:sz w:val="22"/>
          <w:highlight w:val="yellow"/>
        </w:rPr>
        <w:t xml:space="preserve"> las</w:t>
      </w:r>
      <w:r>
        <w:rPr>
          <w:sz w:val="22"/>
          <w:highlight w:val="yellow"/>
        </w:rPr>
        <w:t xml:space="preserve"> convocatorias en las que se aplica el Reglamento de ejecución común:</w:t>
      </w:r>
      <w:r>
        <w:rPr>
          <w:sz w:val="20"/>
        </w:rPr>
        <w:t xml:space="preserve"> </w:t>
      </w:r>
      <w:r>
        <w:rPr>
          <w:sz w:val="22"/>
          <w:highlight w:val="lightGray"/>
        </w:rPr>
        <w:t>Reglamento (UE) n</w:t>
      </w:r>
      <w:r w:rsidR="000243F3">
        <w:rPr>
          <w:sz w:val="22"/>
          <w:highlight w:val="lightGray"/>
        </w:rPr>
        <w:t>.</w:t>
      </w:r>
      <w:r>
        <w:rPr>
          <w:sz w:val="22"/>
          <w:highlight w:val="lightGray"/>
        </w:rPr>
        <w:t>º</w:t>
      </w:r>
      <w:r w:rsidR="00602D0E">
        <w:rPr>
          <w:sz w:val="22"/>
          <w:highlight w:val="lightGray"/>
        </w:rPr>
        <w:t xml:space="preserve"> </w:t>
      </w:r>
      <w:r>
        <w:rPr>
          <w:sz w:val="22"/>
          <w:highlight w:val="lightGray"/>
        </w:rPr>
        <w:t>236/2014 del Parlamento y del Consejo, de 11 de marzo de 2014, por el que se establecen normas y procedimientos de ejecución comunes de los instrumentos de la Unión para la financiaci</w:t>
      </w:r>
      <w:r w:rsidR="00B02224">
        <w:rPr>
          <w:sz w:val="22"/>
          <w:highlight w:val="lightGray"/>
        </w:rPr>
        <w:t>ón de la acción exterior y</w:t>
      </w:r>
      <w:r>
        <w:rPr>
          <w:sz w:val="22"/>
          <w:highlight w:val="lightGray"/>
        </w:rPr>
        <w:t xml:space="preserve"> </w:t>
      </w:r>
      <w:r w:rsidR="008F521D">
        <w:rPr>
          <w:sz w:val="22"/>
          <w:highlight w:val="yellow"/>
        </w:rPr>
        <w:t>&lt;</w:t>
      </w:r>
      <w:r w:rsidR="00B02224">
        <w:rPr>
          <w:sz w:val="22"/>
          <w:highlight w:val="yellow"/>
        </w:rPr>
        <w:t>indi</w:t>
      </w:r>
      <w:r>
        <w:rPr>
          <w:sz w:val="22"/>
          <w:highlight w:val="yellow"/>
        </w:rPr>
        <w:t>que aquí la referencia del Reglamento o de cualquier otro instrument</w:t>
      </w:r>
      <w:r w:rsidR="00E07251">
        <w:rPr>
          <w:sz w:val="22"/>
          <w:highlight w:val="yellow"/>
        </w:rPr>
        <w:t>o en virtud del cual se financia</w:t>
      </w:r>
      <w:r>
        <w:rPr>
          <w:sz w:val="22"/>
          <w:highlight w:val="yellow"/>
        </w:rPr>
        <w:t xml:space="preserve"> el presente </w:t>
      </w:r>
      <w:r w:rsidRPr="008F521D">
        <w:rPr>
          <w:sz w:val="22"/>
          <w:highlight w:val="yellow"/>
        </w:rPr>
        <w:t>contrato</w:t>
      </w:r>
      <w:r w:rsidR="008F521D" w:rsidRPr="008F521D">
        <w:rPr>
          <w:sz w:val="22"/>
          <w:highlight w:val="yellow"/>
        </w:rPr>
        <w:t xml:space="preserve"> </w:t>
      </w:r>
      <w:r w:rsidRPr="008F521D">
        <w:rPr>
          <w:sz w:val="22"/>
          <w:highlight w:val="yellow"/>
        </w:rPr>
        <w:t>(p.</w:t>
      </w:r>
      <w:r w:rsidR="00FB6719">
        <w:rPr>
          <w:sz w:val="22"/>
          <w:highlight w:val="yellow"/>
        </w:rPr>
        <w:t xml:space="preserve"> ej.: </w:t>
      </w:r>
      <w:r w:rsidRPr="008F521D">
        <w:rPr>
          <w:sz w:val="22"/>
          <w:highlight w:val="yellow"/>
        </w:rPr>
        <w:t>ICD, IEVA, IEV, IE)</w:t>
      </w:r>
      <w:r w:rsidR="008F521D" w:rsidRPr="008F521D">
        <w:rPr>
          <w:sz w:val="22"/>
          <w:highlight w:val="yellow"/>
        </w:rPr>
        <w:t>&gt;</w:t>
      </w:r>
      <w:r>
        <w:rPr>
          <w:sz w:val="22"/>
        </w:rPr>
        <w:t xml:space="preserve"> - </w:t>
      </w:r>
      <w:r w:rsidR="008F521D">
        <w:rPr>
          <w:sz w:val="22"/>
          <w:highlight w:val="lightGray"/>
        </w:rPr>
        <w:t>V</w:t>
      </w:r>
      <w:r>
        <w:rPr>
          <w:sz w:val="22"/>
          <w:highlight w:val="lightGray"/>
        </w:rPr>
        <w:t xml:space="preserve">éase el anexo A2 </w:t>
      </w:r>
      <w:r w:rsidRPr="00C26AD4">
        <w:rPr>
          <w:sz w:val="22"/>
          <w:highlight w:val="lightGray"/>
        </w:rPr>
        <w:t xml:space="preserve">de la Guía </w:t>
      </w:r>
      <w:r w:rsidR="008F521D" w:rsidRPr="00C26AD4">
        <w:rPr>
          <w:sz w:val="22"/>
          <w:highlight w:val="lightGray"/>
        </w:rPr>
        <w:t>Práctica</w:t>
      </w:r>
      <w:r w:rsidR="008F521D" w:rsidRPr="00883C71">
        <w:rPr>
          <w:sz w:val="22"/>
        </w:rPr>
        <w:t>]</w:t>
      </w:r>
    </w:p>
    <w:p w:rsidR="00883C71" w:rsidRDefault="00883C71" w:rsidP="00883C71">
      <w:pPr>
        <w:pStyle w:val="Blockquote"/>
        <w:spacing w:before="0" w:after="0"/>
        <w:ind w:left="425" w:right="357"/>
        <w:rPr>
          <w:sz w:val="22"/>
        </w:rPr>
      </w:pPr>
    </w:p>
    <w:p w:rsidR="000243F3" w:rsidRPr="00A14C51" w:rsidRDefault="000243F3" w:rsidP="00705E9C">
      <w:pPr>
        <w:pStyle w:val="Blockquote"/>
        <w:spacing w:before="0" w:after="0"/>
        <w:ind w:left="425" w:right="357"/>
        <w:jc w:val="both"/>
        <w:rPr>
          <w:sz w:val="22"/>
          <w:highlight w:val="lightGray"/>
        </w:rPr>
      </w:pPr>
      <w:r w:rsidRPr="00B846E6">
        <w:rPr>
          <w:sz w:val="22"/>
          <w:highlight w:val="lightGray"/>
        </w:rPr>
        <w:t>[</w:t>
      </w:r>
      <w:r w:rsidRPr="00B846E6">
        <w:rPr>
          <w:sz w:val="22"/>
          <w:highlight w:val="yellow"/>
        </w:rPr>
        <w:t>&lt; e</w:t>
      </w:r>
      <w:r w:rsidRPr="00C26AD4">
        <w:rPr>
          <w:sz w:val="22"/>
          <w:highlight w:val="yellow"/>
        </w:rPr>
        <w:t>n caso de ICD, IEV, ICSN, I</w:t>
      </w:r>
      <w:r w:rsidR="00A14C51">
        <w:rPr>
          <w:sz w:val="22"/>
          <w:highlight w:val="yellow"/>
        </w:rPr>
        <w:t>A</w:t>
      </w:r>
      <w:r w:rsidRPr="00C26AD4">
        <w:rPr>
          <w:sz w:val="22"/>
          <w:highlight w:val="yellow"/>
        </w:rPr>
        <w:t xml:space="preserve"> e IA</w:t>
      </w:r>
      <w:r w:rsidR="00A14C51">
        <w:rPr>
          <w:sz w:val="22"/>
          <w:highlight w:val="yellow"/>
        </w:rPr>
        <w:t>P</w:t>
      </w:r>
      <w:r w:rsidRPr="00C26AD4">
        <w:rPr>
          <w:sz w:val="22"/>
          <w:highlight w:val="yellow"/>
        </w:rPr>
        <w:t xml:space="preserve"> II: </w:t>
      </w:r>
      <w:r w:rsidR="00705E9C">
        <w:rPr>
          <w:sz w:val="22"/>
          <w:highlight w:val="yellow"/>
        </w:rPr>
        <w:tab/>
      </w:r>
      <w:r w:rsidR="00705E9C">
        <w:rPr>
          <w:sz w:val="22"/>
          <w:highlight w:val="yellow"/>
        </w:rPr>
        <w:br/>
      </w:r>
      <w:r w:rsidR="00A14C51" w:rsidRPr="00A14C51">
        <w:rPr>
          <w:sz w:val="22"/>
          <w:highlight w:val="lightGray"/>
        </w:rPr>
        <w:t>Téngase en cuenta que, tras la salida del Reino Unido de la Unión Europea, las normas de acceso a los procedimientos de contratación de la Unión Europea para los operadores económicos establecidos en terceros países se aplicarán a los candidatos o licitadores del Reino Unido en función del resultado de las negociaciones. En caso de que dicho acceso no se prevea en las disposiciones jurídicas en vigor, los candidatos o licitadores del Reino Unido podrán ser excluidos del procedimiento de contratación</w:t>
      </w:r>
      <w:r w:rsidRPr="003A573C">
        <w:rPr>
          <w:sz w:val="22"/>
          <w:highlight w:val="lightGray"/>
        </w:rPr>
        <w:t>].</w:t>
      </w:r>
    </w:p>
    <w:p w:rsidR="00812333" w:rsidRPr="00C84736" w:rsidRDefault="00812333" w:rsidP="00812333">
      <w:pPr>
        <w:pStyle w:val="Blockquote"/>
        <w:spacing w:before="120" w:after="0"/>
        <w:ind w:left="426" w:right="357"/>
        <w:rPr>
          <w:sz w:val="22"/>
          <w:szCs w:val="22"/>
        </w:rPr>
      </w:pPr>
      <w:r w:rsidRPr="003A573C">
        <w:rPr>
          <w:sz w:val="22"/>
        </w:rPr>
        <w:t>[</w:t>
      </w:r>
      <w:r w:rsidRPr="003A573C">
        <w:rPr>
          <w:sz w:val="22"/>
          <w:highlight w:val="yellow"/>
        </w:rPr>
        <w:t>P</w:t>
      </w:r>
      <w:r w:rsidR="003A573C" w:rsidRPr="003A573C">
        <w:rPr>
          <w:sz w:val="22"/>
          <w:highlight w:val="yellow"/>
        </w:rPr>
        <w:t>resupuesto general de la Unión</w:t>
      </w:r>
      <w:r>
        <w:rPr>
          <w:sz w:val="22"/>
          <w:highlight w:val="yellow"/>
        </w:rPr>
        <w:t xml:space="preserve">: para </w:t>
      </w:r>
      <w:r w:rsidR="00E07251">
        <w:rPr>
          <w:sz w:val="22"/>
          <w:highlight w:val="yellow"/>
        </w:rPr>
        <w:t xml:space="preserve">las </w:t>
      </w:r>
      <w:r>
        <w:rPr>
          <w:sz w:val="22"/>
          <w:highlight w:val="yellow"/>
        </w:rPr>
        <w:t>convocatorias en las que no se aplica el Reglamento de ejecución común (p.</w:t>
      </w:r>
      <w:r w:rsidR="00FB6719">
        <w:rPr>
          <w:sz w:val="22"/>
          <w:highlight w:val="yellow"/>
        </w:rPr>
        <w:t xml:space="preserve"> </w:t>
      </w:r>
      <w:r>
        <w:rPr>
          <w:sz w:val="22"/>
          <w:highlight w:val="yellow"/>
        </w:rPr>
        <w:t>ej.</w:t>
      </w:r>
      <w:r w:rsidR="00FB6719">
        <w:rPr>
          <w:sz w:val="22"/>
          <w:highlight w:val="yellow"/>
        </w:rPr>
        <w:t>:</w:t>
      </w:r>
      <w:r>
        <w:rPr>
          <w:sz w:val="22"/>
          <w:highlight w:val="yellow"/>
        </w:rPr>
        <w:t xml:space="preserve"> el IA</w:t>
      </w:r>
      <w:r w:rsidR="00A14C51">
        <w:rPr>
          <w:sz w:val="22"/>
          <w:highlight w:val="yellow"/>
        </w:rPr>
        <w:t>P</w:t>
      </w:r>
      <w:r>
        <w:rPr>
          <w:sz w:val="22"/>
          <w:highlight w:val="yellow"/>
        </w:rPr>
        <w:t xml:space="preserve"> I),</w:t>
      </w:r>
      <w:r>
        <w:rPr>
          <w:sz w:val="22"/>
        </w:rPr>
        <w:t xml:space="preserve"> </w:t>
      </w:r>
      <w:r w:rsidRPr="008E069F">
        <w:rPr>
          <w:sz w:val="22"/>
          <w:highlight w:val="yellow"/>
        </w:rPr>
        <w:t>-&lt; Reglamento u otro instrument</w:t>
      </w:r>
      <w:r w:rsidR="00E07251" w:rsidRPr="008E069F">
        <w:rPr>
          <w:sz w:val="22"/>
          <w:highlight w:val="yellow"/>
        </w:rPr>
        <w:t>o en virtud del cual se financia</w:t>
      </w:r>
      <w:r w:rsidRPr="008E069F">
        <w:rPr>
          <w:sz w:val="22"/>
          <w:highlight w:val="yellow"/>
        </w:rPr>
        <w:t xml:space="preserve"> el presente </w:t>
      </w:r>
      <w:r w:rsidR="008F521D" w:rsidRPr="008E069F">
        <w:rPr>
          <w:sz w:val="22"/>
          <w:highlight w:val="yellow"/>
        </w:rPr>
        <w:t>c</w:t>
      </w:r>
      <w:r w:rsidR="00E07251" w:rsidRPr="008E069F">
        <w:rPr>
          <w:sz w:val="22"/>
          <w:highlight w:val="yellow"/>
        </w:rPr>
        <w:t>ontrato</w:t>
      </w:r>
      <w:r w:rsidR="008F521D" w:rsidRPr="008E069F">
        <w:rPr>
          <w:sz w:val="22"/>
          <w:highlight w:val="yellow"/>
        </w:rPr>
        <w:t>&gt;</w:t>
      </w:r>
      <w:r w:rsidR="00E07251" w:rsidRPr="008E069F">
        <w:rPr>
          <w:sz w:val="22"/>
          <w:highlight w:val="yellow"/>
        </w:rPr>
        <w:t xml:space="preserve"> </w:t>
      </w:r>
      <w:r>
        <w:rPr>
          <w:sz w:val="22"/>
        </w:rPr>
        <w:t xml:space="preserve">- </w:t>
      </w:r>
      <w:r w:rsidR="008F521D">
        <w:rPr>
          <w:sz w:val="22"/>
          <w:highlight w:val="lightGray"/>
        </w:rPr>
        <w:t>V</w:t>
      </w:r>
      <w:r>
        <w:rPr>
          <w:sz w:val="22"/>
          <w:highlight w:val="lightGray"/>
        </w:rPr>
        <w:t xml:space="preserve">éase el anexo A2 de la Guía </w:t>
      </w:r>
      <w:r w:rsidR="00C26AD4">
        <w:rPr>
          <w:sz w:val="22"/>
          <w:highlight w:val="lightGray"/>
        </w:rPr>
        <w:t>P</w:t>
      </w:r>
      <w:r>
        <w:rPr>
          <w:sz w:val="22"/>
          <w:highlight w:val="lightGray"/>
        </w:rPr>
        <w:t>ráctica</w:t>
      </w:r>
      <w:r w:rsidRPr="008E069F">
        <w:rPr>
          <w:sz w:val="22"/>
          <w:highlight w:val="yellow"/>
        </w:rPr>
        <w:t>]</w:t>
      </w:r>
    </w:p>
    <w:p w:rsidR="007F1DC4" w:rsidRDefault="007F1DC4" w:rsidP="008F521D">
      <w:pPr>
        <w:pStyle w:val="Blockquote"/>
        <w:spacing w:before="120" w:after="120"/>
        <w:ind w:left="426" w:right="357"/>
        <w:jc w:val="both"/>
        <w:rPr>
          <w:sz w:val="22"/>
        </w:rPr>
      </w:pPr>
      <w:r>
        <w:rPr>
          <w:sz w:val="22"/>
        </w:rPr>
        <w:t>[</w:t>
      </w:r>
      <w:r w:rsidRPr="008F521D">
        <w:rPr>
          <w:sz w:val="22"/>
          <w:highlight w:val="yellow"/>
        </w:rPr>
        <w:t>FED:</w:t>
      </w:r>
      <w:r>
        <w:rPr>
          <w:sz w:val="22"/>
        </w:rPr>
        <w:t xml:space="preserve"> </w:t>
      </w:r>
      <w:r w:rsidR="008F521D" w:rsidRPr="008F521D">
        <w:rPr>
          <w:sz w:val="22"/>
          <w:highlight w:val="lightGray"/>
        </w:rPr>
        <w:t>Anexo IV del Acuerdo de Asociación entre los Estados de África, del Caribe y del Pacífico, por una parte, y la Comunidad Europea y sus Estados miembros, por otra, firmado en Cotonú el 23 de junio de 2000 y modificado en Luxemburgo el 25 de junio de 2005 y en Uagadugu el 22 de junio de 2010. Se remite al anexo IV revisado por la Decisión nº 1/2014 del Consejo de Ministros ACP-UE de 20 de junio de 2014.]</w:t>
      </w:r>
    </w:p>
    <w:p w:rsidR="00A500BF" w:rsidRPr="00842C8E" w:rsidRDefault="00A500BF" w:rsidP="00705E9C">
      <w:pPr>
        <w:pStyle w:val="Blockquote"/>
        <w:spacing w:before="120" w:after="120"/>
        <w:ind w:left="426" w:right="357"/>
        <w:jc w:val="both"/>
        <w:rPr>
          <w:sz w:val="22"/>
          <w:szCs w:val="22"/>
          <w:lang w:val="es-ES_tradnl"/>
        </w:rPr>
      </w:pPr>
      <w:r w:rsidRPr="00C26AD4">
        <w:rPr>
          <w:sz w:val="22"/>
          <w:szCs w:val="22"/>
          <w:highlight w:val="yellow"/>
          <w:lang w:val="es-ES_tradnl"/>
        </w:rPr>
        <w:t xml:space="preserve">[11.º FED: </w:t>
      </w:r>
      <w:r w:rsidR="00A14C51" w:rsidRPr="00A14C51">
        <w:rPr>
          <w:sz w:val="22"/>
          <w:highlight w:val="lightGray"/>
        </w:rPr>
        <w:t>Téngase en cuenta que, tras la salida del Reino Unido de la Unión Europea, las normas de acceso a los procedimientos de contratación de la Unión Europea para los operadores económicos establecidos en terceros países se aplicarán a los candidatos o licitadores del Reino Unido en función del resultado de las negociaciones. En caso de que dicho acceso no se prevea en las disposiciones jurídicas en vigor</w:t>
      </w:r>
      <w:bookmarkStart w:id="0" w:name="_GoBack"/>
      <w:bookmarkEnd w:id="0"/>
      <w:r w:rsidR="00A14C51" w:rsidRPr="00A14C51">
        <w:rPr>
          <w:sz w:val="22"/>
          <w:highlight w:val="lightGray"/>
        </w:rPr>
        <w:t>, los candidatos o licitadores del Reino Unido podrán ser excluidos del procedimiento de contratación</w:t>
      </w:r>
      <w:r w:rsidRPr="00842C8E">
        <w:rPr>
          <w:sz w:val="22"/>
          <w:szCs w:val="22"/>
          <w:highlight w:val="lightGray"/>
          <w:lang w:val="es-ES_tradnl"/>
        </w:rPr>
        <w:t>.]</w:t>
      </w:r>
    </w:p>
    <w:p w:rsidR="00D40632" w:rsidRPr="00A8218E" w:rsidRDefault="00D40632" w:rsidP="005A5C96">
      <w:pPr>
        <w:pStyle w:val="Blockquote"/>
        <w:spacing w:before="0" w:after="0"/>
        <w:ind w:left="426" w:right="357"/>
        <w:rPr>
          <w:sz w:val="22"/>
          <w:szCs w:val="22"/>
        </w:rPr>
      </w:pPr>
      <w:r>
        <w:rPr>
          <w:b/>
          <w:sz w:val="22"/>
        </w:rPr>
        <w:t>Observaciones</w:t>
      </w:r>
      <w:r>
        <w:rPr>
          <w:rStyle w:val="Strong"/>
          <w:sz w:val="22"/>
        </w:rPr>
        <w:t>:</w:t>
      </w:r>
    </w:p>
    <w:p w:rsidR="00D40632" w:rsidRPr="00C26AD4" w:rsidRDefault="00D40632" w:rsidP="005A5C96">
      <w:pPr>
        <w:pStyle w:val="Blockquote"/>
        <w:spacing w:before="0" w:after="0"/>
        <w:ind w:left="426" w:right="357"/>
        <w:rPr>
          <w:sz w:val="22"/>
          <w:szCs w:val="22"/>
        </w:rPr>
      </w:pPr>
      <w:r w:rsidRPr="00C26AD4">
        <w:rPr>
          <w:sz w:val="22"/>
          <w:szCs w:val="22"/>
        </w:rPr>
        <w:t>Debe transcurrir un plazo mínimo de 30 días</w:t>
      </w:r>
      <w:r w:rsidR="00E07251" w:rsidRPr="00C26AD4">
        <w:rPr>
          <w:sz w:val="22"/>
          <w:szCs w:val="22"/>
        </w:rPr>
        <w:t xml:space="preserve"> naturales</w:t>
      </w:r>
      <w:r w:rsidRPr="00C26AD4">
        <w:rPr>
          <w:sz w:val="22"/>
          <w:szCs w:val="22"/>
        </w:rPr>
        <w:t xml:space="preserve"> entre la publicación del presente anuncio de información previa y la publicación del anuncio de </w:t>
      </w:r>
      <w:r w:rsidR="00E07251" w:rsidRPr="00C26AD4">
        <w:rPr>
          <w:sz w:val="22"/>
          <w:szCs w:val="22"/>
        </w:rPr>
        <w:t>contrato</w:t>
      </w:r>
      <w:r w:rsidRPr="00C26AD4">
        <w:rPr>
          <w:sz w:val="22"/>
          <w:szCs w:val="22"/>
        </w:rPr>
        <w:t xml:space="preserve"> correspondiente.</w:t>
      </w:r>
    </w:p>
    <w:p w:rsidR="00D40632" w:rsidRPr="00C26AD4" w:rsidRDefault="00D40632" w:rsidP="005A5C96">
      <w:pPr>
        <w:pStyle w:val="Blockquote"/>
        <w:spacing w:before="40" w:after="0"/>
        <w:ind w:left="426" w:right="357"/>
        <w:rPr>
          <w:sz w:val="22"/>
          <w:szCs w:val="22"/>
        </w:rPr>
      </w:pPr>
      <w:r w:rsidRPr="00C26AD4">
        <w:rPr>
          <w:sz w:val="22"/>
          <w:szCs w:val="22"/>
        </w:rPr>
        <w:t>No debe enviarse ninguna candidatura ni solicitud de información en la presente fase.</w:t>
      </w:r>
    </w:p>
    <w:sectPr w:rsidR="00D40632" w:rsidRPr="00C26AD4" w:rsidSect="00A71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440" w:bottom="851" w:left="1440" w:header="720" w:footer="44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843" w:rsidRDefault="004D1843">
      <w:r>
        <w:separator/>
      </w:r>
    </w:p>
  </w:endnote>
  <w:endnote w:type="continuationSeparator" w:id="0">
    <w:p w:rsidR="004D1843" w:rsidRDefault="004D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9A" w:rsidRDefault="007A289A" w:rsidP="00A821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A289A" w:rsidRDefault="007A289A" w:rsidP="00A821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21D" w:rsidRPr="000243F3" w:rsidRDefault="005238D7" w:rsidP="008F521D">
    <w:pPr>
      <w:pStyle w:val="Footer"/>
      <w:tabs>
        <w:tab w:val="clear" w:pos="4320"/>
        <w:tab w:val="clear" w:pos="8640"/>
        <w:tab w:val="right" w:pos="9356"/>
      </w:tabs>
      <w:spacing w:before="0" w:after="0"/>
      <w:ind w:right="360"/>
      <w:rPr>
        <w:sz w:val="18"/>
        <w:szCs w:val="18"/>
        <w:lang w:val="pt-PT"/>
      </w:rPr>
    </w:pPr>
    <w:r w:rsidRPr="005238D7">
      <w:rPr>
        <w:b/>
        <w:sz w:val="18"/>
        <w:szCs w:val="18"/>
        <w:lang w:val="pt-PT"/>
      </w:rPr>
      <w:t>Julio 2019</w:t>
    </w:r>
    <w:r w:rsidR="008F521D" w:rsidRPr="000243F3">
      <w:rPr>
        <w:sz w:val="18"/>
        <w:szCs w:val="18"/>
        <w:lang w:val="pt-PT"/>
      </w:rPr>
      <w:tab/>
      <w:t xml:space="preserve">Página </w:t>
    </w:r>
    <w:r w:rsidR="008F521D" w:rsidRPr="00ED0704">
      <w:rPr>
        <w:sz w:val="18"/>
        <w:szCs w:val="18"/>
        <w:lang w:val="en-GB"/>
      </w:rPr>
      <w:fldChar w:fldCharType="begin"/>
    </w:r>
    <w:r w:rsidR="008F521D" w:rsidRPr="000243F3">
      <w:rPr>
        <w:sz w:val="18"/>
        <w:szCs w:val="18"/>
        <w:lang w:val="pt-PT"/>
      </w:rPr>
      <w:instrText xml:space="preserve"> PAGE </w:instrText>
    </w:r>
    <w:r w:rsidR="008F521D" w:rsidRPr="00ED0704">
      <w:rPr>
        <w:sz w:val="18"/>
        <w:szCs w:val="18"/>
        <w:lang w:val="en-GB"/>
      </w:rPr>
      <w:fldChar w:fldCharType="separate"/>
    </w:r>
    <w:r w:rsidR="00D208D3">
      <w:rPr>
        <w:noProof/>
        <w:sz w:val="18"/>
        <w:szCs w:val="18"/>
        <w:lang w:val="pt-PT"/>
      </w:rPr>
      <w:t>1</w:t>
    </w:r>
    <w:r w:rsidR="008F521D" w:rsidRPr="00ED0704">
      <w:rPr>
        <w:sz w:val="18"/>
        <w:szCs w:val="18"/>
        <w:lang w:val="en-GB"/>
      </w:rPr>
      <w:fldChar w:fldCharType="end"/>
    </w:r>
    <w:r w:rsidR="008F521D" w:rsidRPr="000243F3">
      <w:rPr>
        <w:sz w:val="18"/>
        <w:szCs w:val="18"/>
        <w:lang w:val="pt-PT"/>
      </w:rPr>
      <w:t xml:space="preserve"> de 2</w:t>
    </w:r>
  </w:p>
  <w:p w:rsidR="008F521D" w:rsidRPr="000243F3" w:rsidRDefault="008F521D" w:rsidP="008F521D">
    <w:pPr>
      <w:pStyle w:val="Footer"/>
      <w:tabs>
        <w:tab w:val="clear" w:pos="4320"/>
        <w:tab w:val="clear" w:pos="8640"/>
        <w:tab w:val="right" w:pos="9356"/>
      </w:tabs>
      <w:spacing w:before="0" w:after="0"/>
      <w:ind w:right="360"/>
      <w:rPr>
        <w:sz w:val="18"/>
        <w:szCs w:val="18"/>
        <w:lang w:val="pt-PT"/>
      </w:rPr>
    </w:pPr>
    <w:r w:rsidRPr="00AD3F78">
      <w:rPr>
        <w:sz w:val="18"/>
        <w:szCs w:val="18"/>
        <w:lang w:val="en-GB"/>
      </w:rPr>
      <w:fldChar w:fldCharType="begin"/>
    </w:r>
    <w:r w:rsidRPr="000243F3">
      <w:rPr>
        <w:sz w:val="18"/>
        <w:szCs w:val="18"/>
        <w:lang w:val="pt-PT"/>
      </w:rPr>
      <w:instrText xml:space="preserve"> FILENAME </w:instrText>
    </w:r>
    <w:r w:rsidRPr="00AD3F78">
      <w:rPr>
        <w:sz w:val="18"/>
        <w:szCs w:val="18"/>
        <w:lang w:val="en-GB"/>
      </w:rPr>
      <w:fldChar w:fldCharType="separate"/>
    </w:r>
    <w:r w:rsidRPr="000243F3">
      <w:rPr>
        <w:noProof/>
        <w:sz w:val="18"/>
        <w:szCs w:val="18"/>
        <w:lang w:val="pt-PT"/>
      </w:rPr>
      <w:t>b1_priorinfo_e</w:t>
    </w:r>
    <w:r w:rsidR="00D93E6E" w:rsidRPr="000243F3">
      <w:rPr>
        <w:noProof/>
        <w:sz w:val="18"/>
        <w:szCs w:val="18"/>
        <w:lang w:val="pt-PT"/>
      </w:rPr>
      <w:t>s</w:t>
    </w:r>
    <w:r w:rsidRPr="000243F3">
      <w:rPr>
        <w:noProof/>
        <w:sz w:val="18"/>
        <w:szCs w:val="18"/>
        <w:lang w:val="pt-PT"/>
      </w:rPr>
      <w:t>.doc</w:t>
    </w:r>
    <w:r w:rsidRPr="00AD3F78">
      <w:rPr>
        <w:sz w:val="18"/>
        <w:szCs w:val="18"/>
        <w:lang w:val="en-GB"/>
      </w:rPr>
      <w:fldChar w:fldCharType="end"/>
    </w:r>
  </w:p>
  <w:p w:rsidR="007A289A" w:rsidRPr="000243F3" w:rsidRDefault="007A289A" w:rsidP="008F521D">
    <w:pPr>
      <w:pStyle w:val="Footer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8D7" w:rsidRDefault="00523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843" w:rsidRDefault="004D1843">
      <w:r>
        <w:separator/>
      </w:r>
    </w:p>
  </w:footnote>
  <w:footnote w:type="continuationSeparator" w:id="0">
    <w:p w:rsidR="004D1843" w:rsidRDefault="004D1843">
      <w:r>
        <w:continuationSeparator/>
      </w:r>
    </w:p>
  </w:footnote>
  <w:footnote w:id="1">
    <w:p w:rsidR="00E668C2" w:rsidRPr="00E07251" w:rsidRDefault="00E668C2" w:rsidP="00EF3EEB">
      <w:pPr>
        <w:pStyle w:val="FootnoteText"/>
        <w:ind w:left="142" w:hanging="142"/>
        <w:rPr>
          <w:lang w:val="es-ES_tradnl"/>
        </w:rPr>
      </w:pPr>
      <w:r>
        <w:rPr>
          <w:rStyle w:val="FootnoteReference"/>
        </w:rPr>
        <w:footnoteRef/>
      </w:r>
      <w:r>
        <w:tab/>
        <w:t>Indíquese cualquier particularidad que pueda incidir en las normas de participación (por ejemplo, geográfica o temática</w:t>
      </w:r>
      <w:r w:rsidR="00E07251">
        <w:t>,</w:t>
      </w:r>
      <w:r>
        <w:t xml:space="preserve"> o a largo o corto plazo).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8D7" w:rsidRDefault="00523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8D7" w:rsidRDefault="005238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8D7" w:rsidRDefault="005238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006B3"/>
    <w:rsid w:val="000012DB"/>
    <w:rsid w:val="00001499"/>
    <w:rsid w:val="0001162E"/>
    <w:rsid w:val="0001549D"/>
    <w:rsid w:val="000158CB"/>
    <w:rsid w:val="000243F3"/>
    <w:rsid w:val="00034DC1"/>
    <w:rsid w:val="000406AC"/>
    <w:rsid w:val="00066566"/>
    <w:rsid w:val="000801A8"/>
    <w:rsid w:val="000A03DE"/>
    <w:rsid w:val="000F2B86"/>
    <w:rsid w:val="00107435"/>
    <w:rsid w:val="001624D7"/>
    <w:rsid w:val="002252B6"/>
    <w:rsid w:val="002403B2"/>
    <w:rsid w:val="00263A24"/>
    <w:rsid w:val="002A288E"/>
    <w:rsid w:val="002D417C"/>
    <w:rsid w:val="00301DD4"/>
    <w:rsid w:val="0031058A"/>
    <w:rsid w:val="00321F18"/>
    <w:rsid w:val="00327196"/>
    <w:rsid w:val="003425D3"/>
    <w:rsid w:val="003825BB"/>
    <w:rsid w:val="003A573C"/>
    <w:rsid w:val="003D7757"/>
    <w:rsid w:val="003E500E"/>
    <w:rsid w:val="003F540F"/>
    <w:rsid w:val="00452EE7"/>
    <w:rsid w:val="004B4CB9"/>
    <w:rsid w:val="004D1843"/>
    <w:rsid w:val="005238D7"/>
    <w:rsid w:val="00560DCF"/>
    <w:rsid w:val="005622CB"/>
    <w:rsid w:val="005775C5"/>
    <w:rsid w:val="0058084B"/>
    <w:rsid w:val="005A5C96"/>
    <w:rsid w:val="005C7A0D"/>
    <w:rsid w:val="005E034B"/>
    <w:rsid w:val="00602D0E"/>
    <w:rsid w:val="00624CFC"/>
    <w:rsid w:val="0062550F"/>
    <w:rsid w:val="00626355"/>
    <w:rsid w:val="00626DA2"/>
    <w:rsid w:val="00647417"/>
    <w:rsid w:val="00690815"/>
    <w:rsid w:val="006A3B54"/>
    <w:rsid w:val="006B28B9"/>
    <w:rsid w:val="006B4D57"/>
    <w:rsid w:val="007006B3"/>
    <w:rsid w:val="00705E9C"/>
    <w:rsid w:val="0075614B"/>
    <w:rsid w:val="00783BEC"/>
    <w:rsid w:val="0078543C"/>
    <w:rsid w:val="00787314"/>
    <w:rsid w:val="00796089"/>
    <w:rsid w:val="007A289A"/>
    <w:rsid w:val="007D4FF8"/>
    <w:rsid w:val="007E525D"/>
    <w:rsid w:val="007E7CF4"/>
    <w:rsid w:val="007F1DC4"/>
    <w:rsid w:val="00803B4F"/>
    <w:rsid w:val="00812333"/>
    <w:rsid w:val="00842C8E"/>
    <w:rsid w:val="00867D7E"/>
    <w:rsid w:val="00883C71"/>
    <w:rsid w:val="008A72EC"/>
    <w:rsid w:val="008C67C9"/>
    <w:rsid w:val="008D0E78"/>
    <w:rsid w:val="008E069F"/>
    <w:rsid w:val="008E165A"/>
    <w:rsid w:val="008E58E4"/>
    <w:rsid w:val="008F521D"/>
    <w:rsid w:val="009439A9"/>
    <w:rsid w:val="00947708"/>
    <w:rsid w:val="00965C18"/>
    <w:rsid w:val="00982D25"/>
    <w:rsid w:val="00992BFF"/>
    <w:rsid w:val="009B1C03"/>
    <w:rsid w:val="009B7B7E"/>
    <w:rsid w:val="009E3060"/>
    <w:rsid w:val="009F3ADC"/>
    <w:rsid w:val="00A0731E"/>
    <w:rsid w:val="00A14C51"/>
    <w:rsid w:val="00A261BD"/>
    <w:rsid w:val="00A500BF"/>
    <w:rsid w:val="00A52174"/>
    <w:rsid w:val="00A65367"/>
    <w:rsid w:val="00A71043"/>
    <w:rsid w:val="00A71A4E"/>
    <w:rsid w:val="00A73081"/>
    <w:rsid w:val="00A767A6"/>
    <w:rsid w:val="00A76880"/>
    <w:rsid w:val="00A8218E"/>
    <w:rsid w:val="00AC6DD2"/>
    <w:rsid w:val="00AD3F78"/>
    <w:rsid w:val="00AF2A75"/>
    <w:rsid w:val="00B02224"/>
    <w:rsid w:val="00B167A8"/>
    <w:rsid w:val="00B56468"/>
    <w:rsid w:val="00B570B7"/>
    <w:rsid w:val="00B846E6"/>
    <w:rsid w:val="00BE6AF3"/>
    <w:rsid w:val="00BF428F"/>
    <w:rsid w:val="00C13046"/>
    <w:rsid w:val="00C1519D"/>
    <w:rsid w:val="00C26AD4"/>
    <w:rsid w:val="00C351D5"/>
    <w:rsid w:val="00C373C1"/>
    <w:rsid w:val="00C722A7"/>
    <w:rsid w:val="00C84736"/>
    <w:rsid w:val="00CB49C8"/>
    <w:rsid w:val="00D12B32"/>
    <w:rsid w:val="00D208D3"/>
    <w:rsid w:val="00D230A2"/>
    <w:rsid w:val="00D40632"/>
    <w:rsid w:val="00D622C1"/>
    <w:rsid w:val="00D630FA"/>
    <w:rsid w:val="00D74978"/>
    <w:rsid w:val="00D93E6E"/>
    <w:rsid w:val="00DA3CC7"/>
    <w:rsid w:val="00E07251"/>
    <w:rsid w:val="00E22666"/>
    <w:rsid w:val="00E668C2"/>
    <w:rsid w:val="00EA39FB"/>
    <w:rsid w:val="00EB5814"/>
    <w:rsid w:val="00ED0704"/>
    <w:rsid w:val="00ED2C34"/>
    <w:rsid w:val="00EF3EEB"/>
    <w:rsid w:val="00F22C21"/>
    <w:rsid w:val="00F8687C"/>
    <w:rsid w:val="00FB6255"/>
    <w:rsid w:val="00FB6719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B1FE24"/>
  <w15:docId w15:val="{A4D2B47C-86ED-4CD3-AE1C-78C6198A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218E"/>
  </w:style>
  <w:style w:type="paragraph" w:styleId="BalloonText">
    <w:name w:val="Balloon Text"/>
    <w:basedOn w:val="Normal"/>
    <w:semiHidden/>
    <w:rsid w:val="005A5C96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668C2"/>
    <w:pPr>
      <w:numPr>
        <w:numId w:val="14"/>
      </w:numPr>
    </w:pPr>
  </w:style>
  <w:style w:type="paragraph" w:styleId="FootnoteText">
    <w:name w:val="footnote text"/>
    <w:basedOn w:val="Normal"/>
    <w:link w:val="FootnoteTextChar"/>
    <w:rsid w:val="00E668C2"/>
    <w:rPr>
      <w:sz w:val="20"/>
    </w:rPr>
  </w:style>
  <w:style w:type="character" w:customStyle="1" w:styleId="FootnoteTextChar">
    <w:name w:val="Footnote Text Char"/>
    <w:link w:val="FootnoteText"/>
    <w:rsid w:val="00E668C2"/>
    <w:rPr>
      <w:snapToGrid w:val="0"/>
      <w:lang w:val="es-ES" w:eastAsia="es-ES"/>
    </w:rPr>
  </w:style>
  <w:style w:type="character" w:styleId="FootnoteReference">
    <w:name w:val="footnote reference"/>
    <w:rsid w:val="00E668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EC91D-137D-4EE8-944E-BF4A1C67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3373</Characters>
  <Application>Microsoft Office Word</Application>
  <DocSecurity>0</DocSecurity>
  <Lines>64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Pre-information notice - services</vt:lpstr>
    </vt:vector>
  </TitlesOfParts>
  <Company>European Commission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Pre-information notice - services</dc:title>
  <dc:subject/>
  <dc:creator>ramatje</dc:creator>
  <cp:keywords/>
  <cp:lastModifiedBy>MORARIU Maria- Claudia (DEVCO-EXT)</cp:lastModifiedBy>
  <cp:revision>4</cp:revision>
  <cp:lastPrinted>2006-01-20T17:06:00Z</cp:lastPrinted>
  <dcterms:created xsi:type="dcterms:W3CDTF">2018-10-18T10:42:00Z</dcterms:created>
  <dcterms:modified xsi:type="dcterms:W3CDTF">2019-10-08T10:27:00Z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-123034807</vt:i4>
  </property>
  <property fmtid="{D5CDD505-2E9C-101B-9397-08002B2CF9AE}" pid="4" name="_EmailSubject">
    <vt:lpwstr>Annexes services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PreviousAdHocReviewCycleID">
    <vt:i4>-2072268352</vt:i4>
  </property>
  <property fmtid="{D5CDD505-2E9C-101B-9397-08002B2CF9AE}" pid="8" name="_ReviewingToolsShownOnce">
    <vt:lpwstr/>
  </property>
  <property fmtid="{D5CDD505-2E9C-101B-9397-08002B2CF9AE}" pid="9" name="Checked by">
    <vt:lpwstr>duboile</vt:lpwstr>
  </property>
</Properties>
</file>