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BDC" w:rsidRPr="00CF7CB8" w:rsidRDefault="00632BDC" w:rsidP="00D517A4">
      <w:pPr>
        <w:jc w:val="center"/>
        <w:rPr>
          <w:sz w:val="20"/>
          <w:highlight w:val="yellow"/>
          <w:lang w:eastAsia="en-US" w:bidi="ar-SA"/>
        </w:rPr>
      </w:pPr>
      <w:r w:rsidRPr="00CF7CB8">
        <w:rPr>
          <w:sz w:val="20"/>
          <w:highlight w:val="yellow"/>
          <w:lang w:eastAsia="en-US" w:bidi="ar-SA"/>
        </w:rPr>
        <w:t>Documento que debe cumplimentar el Órgano de Contratación y enviar a los licitadores invitados</w:t>
      </w:r>
    </w:p>
    <w:p w:rsidR="009C3CF0" w:rsidRPr="009C3CF0" w:rsidRDefault="00632BDC" w:rsidP="009C3CF0">
      <w:pPr>
        <w:jc w:val="center"/>
        <w:rPr>
          <w:sz w:val="20"/>
          <w:lang w:eastAsia="en-US" w:bidi="ar-SA"/>
        </w:rPr>
      </w:pPr>
      <w:r w:rsidRPr="00CF7CB8">
        <w:rPr>
          <w:sz w:val="20"/>
          <w:highlight w:val="yellow"/>
          <w:lang w:eastAsia="en-US" w:bidi="ar-SA"/>
        </w:rPr>
        <w:t xml:space="preserve">(No se publica en procedimiento </w:t>
      </w:r>
      <w:r w:rsidR="00B14B19">
        <w:rPr>
          <w:sz w:val="20"/>
          <w:highlight w:val="yellow"/>
          <w:lang w:eastAsia="en-US" w:bidi="ar-SA"/>
        </w:rPr>
        <w:t>simplificado</w:t>
      </w:r>
      <w:r w:rsidRPr="00CF7CB8">
        <w:rPr>
          <w:sz w:val="20"/>
          <w:highlight w:val="yellow"/>
          <w:lang w:eastAsia="en-US" w:bidi="ar-SA"/>
        </w:rPr>
        <w:t>)</w:t>
      </w:r>
    </w:p>
    <w:p w:rsidR="006F5FD0" w:rsidRPr="00E73AAF" w:rsidRDefault="00E73AAF" w:rsidP="009C3CF0">
      <w:pPr>
        <w:jc w:val="both"/>
        <w:rPr>
          <w:sz w:val="22"/>
          <w:szCs w:val="22"/>
        </w:rPr>
      </w:pPr>
      <w:r w:rsidRPr="00E73AAF">
        <w:rPr>
          <w:b/>
          <w:sz w:val="22"/>
          <w:szCs w:val="22"/>
          <w:highlight w:val="yellow"/>
          <w:lang w:eastAsia="en-US" w:bidi="ar-SA"/>
        </w:rPr>
        <w:t>Modo de completar el presente anuncio de contrato. Insértese la información</w:t>
      </w:r>
      <w:r w:rsidRPr="00E73AAF">
        <w:rPr>
          <w:sz w:val="22"/>
          <w:szCs w:val="22"/>
          <w:highlight w:val="yellow"/>
          <w:lang w:eastAsia="en-US" w:bidi="ar-SA"/>
        </w:rPr>
        <w:t xml:space="preserve"> entre los signos &lt; &gt; según lo indicado para cada licitación. Los corchetes </w:t>
      </w:r>
      <w:r w:rsidRPr="00E73AAF">
        <w:rPr>
          <w:sz w:val="22"/>
          <w:szCs w:val="22"/>
          <w:highlight w:val="yellow"/>
        </w:rPr>
        <w:t xml:space="preserve">[ ] </w:t>
      </w:r>
      <w:r w:rsidRPr="00E73AAF">
        <w:rPr>
          <w:sz w:val="22"/>
          <w:szCs w:val="22"/>
          <w:highlight w:val="yellow"/>
          <w:lang w:eastAsia="en-US" w:bidi="ar-SA"/>
        </w:rPr>
        <w:t xml:space="preserve">y las partes sombreadas en gris indican opciones a elegir: </w:t>
      </w:r>
      <w:r w:rsidR="009655FD">
        <w:rPr>
          <w:sz w:val="22"/>
          <w:szCs w:val="22"/>
          <w:highlight w:val="yellow"/>
          <w:lang w:eastAsia="en-US" w:bidi="ar-SA"/>
        </w:rPr>
        <w:t>d</w:t>
      </w:r>
      <w:r w:rsidRPr="00E73AAF">
        <w:rPr>
          <w:sz w:val="22"/>
          <w:szCs w:val="22"/>
          <w:highlight w:val="yellow"/>
          <w:lang w:eastAsia="en-US" w:bidi="ar-SA"/>
        </w:rPr>
        <w:t>ebe</w:t>
      </w:r>
      <w:r w:rsidR="009655FD">
        <w:rPr>
          <w:sz w:val="22"/>
          <w:szCs w:val="22"/>
          <w:highlight w:val="yellow"/>
          <w:lang w:eastAsia="en-US" w:bidi="ar-SA"/>
        </w:rPr>
        <w:t>rá</w:t>
      </w:r>
      <w:r w:rsidRPr="00E73AAF">
        <w:rPr>
          <w:sz w:val="22"/>
          <w:szCs w:val="22"/>
          <w:highlight w:val="yellow"/>
          <w:lang w:eastAsia="en-US" w:bidi="ar-SA"/>
        </w:rPr>
        <w:t>n incluirse cuando proceda, pero solo debe</w:t>
      </w:r>
      <w:r w:rsidR="009655FD">
        <w:rPr>
          <w:sz w:val="22"/>
          <w:szCs w:val="22"/>
          <w:highlight w:val="yellow"/>
          <w:lang w:eastAsia="en-US" w:bidi="ar-SA"/>
        </w:rPr>
        <w:t>rá</w:t>
      </w:r>
      <w:r w:rsidRPr="00E73AAF">
        <w:rPr>
          <w:sz w:val="22"/>
          <w:szCs w:val="22"/>
          <w:highlight w:val="yellow"/>
          <w:lang w:eastAsia="en-US" w:bidi="ar-SA"/>
        </w:rPr>
        <w:t xml:space="preserve">n modificarse en casos excepcionales, dictados por las exigencias de una licitación específica. </w:t>
      </w:r>
      <w:r w:rsidRPr="009655FD">
        <w:rPr>
          <w:b/>
          <w:sz w:val="22"/>
          <w:szCs w:val="22"/>
          <w:highlight w:val="yellow"/>
          <w:lang w:eastAsia="en-US" w:bidi="ar-SA"/>
        </w:rPr>
        <w:t>Todas las demás partes de estas instrucciones normalizadas</w:t>
      </w:r>
      <w:r w:rsidRPr="00E73AAF">
        <w:rPr>
          <w:sz w:val="22"/>
          <w:szCs w:val="22"/>
          <w:highlight w:val="yellow"/>
          <w:lang w:eastAsia="en-US" w:bidi="ar-SA"/>
        </w:rPr>
        <w:t xml:space="preserve"> deben mantenerse sin ningún cambio. En la versión definitiva de las instrucciones para los licitadores, no olvide borrar este párrafo, así como cualquier otro texto con sombreado amarillo, </w:t>
      </w:r>
      <w:r w:rsidR="00A3742E">
        <w:rPr>
          <w:sz w:val="22"/>
          <w:szCs w:val="22"/>
          <w:highlight w:val="yellow"/>
          <w:lang w:eastAsia="en-US" w:bidi="ar-SA"/>
        </w:rPr>
        <w:t>y</w:t>
      </w:r>
      <w:r w:rsidRPr="00E73AAF">
        <w:rPr>
          <w:sz w:val="22"/>
          <w:szCs w:val="22"/>
          <w:highlight w:val="yellow"/>
          <w:lang w:eastAsia="en-US" w:bidi="ar-SA"/>
        </w:rPr>
        <w:t xml:space="preserve"> suprimir todos los corchetes.</w:t>
      </w:r>
      <w:r w:rsidR="009655FD">
        <w:rPr>
          <w:sz w:val="22"/>
          <w:szCs w:val="22"/>
          <w:highlight w:val="yellow"/>
          <w:lang w:eastAsia="en-US" w:bidi="ar-SA"/>
        </w:rPr>
        <w:tab/>
      </w:r>
      <w:r w:rsidR="00632BDC" w:rsidRPr="00E73AAF">
        <w:rPr>
          <w:sz w:val="22"/>
          <w:szCs w:val="22"/>
        </w:rPr>
        <w:br/>
      </w:r>
    </w:p>
    <w:p w:rsidR="006F5FD0" w:rsidRPr="00AB2EF7" w:rsidRDefault="006F5FD0">
      <w:pPr>
        <w:jc w:val="center"/>
        <w:rPr>
          <w:rStyle w:val="Strong"/>
          <w:sz w:val="28"/>
          <w:szCs w:val="28"/>
        </w:rPr>
      </w:pPr>
      <w:r w:rsidRPr="00AB2EF7">
        <w:rPr>
          <w:b/>
          <w:sz w:val="28"/>
        </w:rPr>
        <w:t>ANUNCIO DE CONTRATO DE SERVICIOS</w:t>
      </w:r>
    </w:p>
    <w:p w:rsidR="006F5FD0" w:rsidRPr="00AB2EF7" w:rsidRDefault="006F5FD0">
      <w:pPr>
        <w:jc w:val="center"/>
        <w:rPr>
          <w:sz w:val="28"/>
          <w:szCs w:val="28"/>
        </w:rPr>
      </w:pPr>
      <w:r w:rsidRPr="00AB2EF7">
        <w:rPr>
          <w:rStyle w:val="Strong"/>
          <w:sz w:val="28"/>
        </w:rPr>
        <w:t>&lt;</w:t>
      </w:r>
      <w:r w:rsidRPr="00AB2EF7">
        <w:rPr>
          <w:rStyle w:val="Strong"/>
          <w:sz w:val="28"/>
          <w:highlight w:val="yellow"/>
        </w:rPr>
        <w:t xml:space="preserve">Título del </w:t>
      </w:r>
      <w:r w:rsidR="00A246D6" w:rsidRPr="00AB2EF7">
        <w:rPr>
          <w:rStyle w:val="Strong"/>
          <w:sz w:val="28"/>
          <w:highlight w:val="yellow"/>
        </w:rPr>
        <w:t>contrato</w:t>
      </w:r>
      <w:r w:rsidRPr="00AB2EF7">
        <w:rPr>
          <w:rStyle w:val="Strong"/>
          <w:sz w:val="28"/>
        </w:rPr>
        <w:t>&gt;</w:t>
      </w:r>
      <w:r w:rsidRPr="00AB2EF7">
        <w:rPr>
          <w:rStyle w:val="Strong"/>
          <w:sz w:val="28"/>
          <w:szCs w:val="28"/>
        </w:rPr>
        <w:br/>
      </w:r>
      <w:r w:rsidRPr="00CF7CB8">
        <w:rPr>
          <w:rStyle w:val="Strong"/>
          <w:sz w:val="28"/>
        </w:rPr>
        <w:t>&lt;</w:t>
      </w:r>
      <w:r w:rsidRPr="00CF7CB8">
        <w:rPr>
          <w:rStyle w:val="Strong"/>
          <w:sz w:val="28"/>
          <w:szCs w:val="28"/>
          <w:highlight w:val="yellow"/>
          <w:lang w:eastAsia="en-US" w:bidi="ar-SA"/>
        </w:rPr>
        <w:t>Lugar -</w:t>
      </w:r>
      <w:r w:rsidRPr="00CF7CB8">
        <w:rPr>
          <w:rStyle w:val="Strong"/>
          <w:sz w:val="28"/>
        </w:rPr>
        <w:t xml:space="preserve"> </w:t>
      </w:r>
      <w:r w:rsidRPr="00CF7CB8">
        <w:rPr>
          <w:rStyle w:val="Emphasis"/>
          <w:i w:val="0"/>
          <w:sz w:val="28"/>
          <w:szCs w:val="28"/>
          <w:highlight w:val="yellow"/>
          <w:lang w:eastAsia="en-US" w:bidi="ar-SA"/>
        </w:rPr>
        <w:t xml:space="preserve">Zona/región y país o países </w:t>
      </w:r>
      <w:r w:rsidRPr="00CF7CB8">
        <w:rPr>
          <w:rStyle w:val="Strong"/>
          <w:sz w:val="28"/>
        </w:rPr>
        <w:t>&gt;</w:t>
      </w:r>
    </w:p>
    <w:p w:rsidR="00571687" w:rsidRPr="00AB2EF7" w:rsidRDefault="00571687" w:rsidP="00584BF4">
      <w:pPr>
        <w:ind w:left="709" w:hanging="349"/>
        <w:outlineLvl w:val="0"/>
        <w:rPr>
          <w:rStyle w:val="Strong"/>
          <w:sz w:val="22"/>
          <w:szCs w:val="22"/>
        </w:rPr>
      </w:pPr>
    </w:p>
    <w:p w:rsidR="006F5FD0" w:rsidRPr="00AB2EF7" w:rsidRDefault="007727F3" w:rsidP="00584BF4">
      <w:pPr>
        <w:ind w:left="709" w:hanging="349"/>
        <w:outlineLvl w:val="0"/>
        <w:rPr>
          <w:sz w:val="22"/>
          <w:szCs w:val="22"/>
        </w:rPr>
      </w:pPr>
      <w:r w:rsidRPr="00AB2EF7">
        <w:rPr>
          <w:rStyle w:val="Strong"/>
          <w:sz w:val="22"/>
        </w:rPr>
        <w:t>1.</w:t>
      </w:r>
      <w:r w:rsidRPr="00AB2EF7">
        <w:tab/>
      </w:r>
      <w:r w:rsidRPr="00AB2EF7">
        <w:rPr>
          <w:rStyle w:val="Strong"/>
          <w:sz w:val="22"/>
        </w:rPr>
        <w:t>Referencia</w:t>
      </w:r>
    </w:p>
    <w:p w:rsidR="006F5FD0" w:rsidRPr="00AB2EF7" w:rsidRDefault="006F5FD0">
      <w:pPr>
        <w:pStyle w:val="Blockquote"/>
        <w:rPr>
          <w:i/>
          <w:sz w:val="22"/>
          <w:szCs w:val="22"/>
        </w:rPr>
      </w:pPr>
      <w:r w:rsidRPr="00AB2EF7">
        <w:rPr>
          <w:rStyle w:val="Emphasis"/>
          <w:i w:val="0"/>
          <w:sz w:val="22"/>
        </w:rPr>
        <w:t xml:space="preserve">&lt; </w:t>
      </w:r>
      <w:r w:rsidRPr="00AB2EF7">
        <w:rPr>
          <w:rStyle w:val="Emphasis"/>
          <w:i w:val="0"/>
          <w:sz w:val="22"/>
          <w:highlight w:val="yellow"/>
        </w:rPr>
        <w:t>Referencia</w:t>
      </w:r>
      <w:r w:rsidRPr="00AB2EF7">
        <w:rPr>
          <w:rStyle w:val="Emphasis"/>
          <w:i w:val="0"/>
          <w:sz w:val="22"/>
        </w:rPr>
        <w:t xml:space="preserve"> &gt;</w:t>
      </w:r>
    </w:p>
    <w:p w:rsidR="006F5FD0" w:rsidRPr="00AB2EF7" w:rsidRDefault="007727F3" w:rsidP="00584BF4">
      <w:pPr>
        <w:ind w:left="709" w:hanging="349"/>
        <w:outlineLvl w:val="0"/>
        <w:rPr>
          <w:sz w:val="22"/>
          <w:szCs w:val="22"/>
        </w:rPr>
      </w:pPr>
      <w:r w:rsidRPr="00AB2EF7">
        <w:rPr>
          <w:rStyle w:val="Strong"/>
          <w:sz w:val="22"/>
        </w:rPr>
        <w:t>2.</w:t>
      </w:r>
      <w:r w:rsidRPr="00AB2EF7">
        <w:tab/>
      </w:r>
      <w:r w:rsidRPr="00AB2EF7">
        <w:rPr>
          <w:rStyle w:val="Strong"/>
          <w:sz w:val="22"/>
        </w:rPr>
        <w:t>Procedimiento</w:t>
      </w:r>
    </w:p>
    <w:p w:rsidR="006F5FD0" w:rsidRPr="00B66CEC" w:rsidRDefault="006F4E62">
      <w:pPr>
        <w:pStyle w:val="Blockquote"/>
        <w:jc w:val="both"/>
        <w:rPr>
          <w:sz w:val="22"/>
          <w:szCs w:val="22"/>
        </w:rPr>
      </w:pPr>
      <w:r w:rsidRPr="00B66CEC">
        <w:rPr>
          <w:sz w:val="22"/>
          <w:szCs w:val="22"/>
          <w:highlight w:val="lightGray"/>
        </w:rPr>
        <w:t>[</w:t>
      </w:r>
      <w:r w:rsidR="00B14B19">
        <w:rPr>
          <w:sz w:val="22"/>
          <w:highlight w:val="lightGray"/>
        </w:rPr>
        <w:t>Simplificado</w:t>
      </w:r>
      <w:r w:rsidRPr="00B66CEC">
        <w:rPr>
          <w:sz w:val="22"/>
          <w:szCs w:val="22"/>
          <w:highlight w:val="lightGray"/>
        </w:rPr>
        <w:t>][Oferta única</w:t>
      </w:r>
      <w:r w:rsidRPr="00B66CEC">
        <w:rPr>
          <w:sz w:val="22"/>
          <w:szCs w:val="22"/>
        </w:rPr>
        <w:t>]</w:t>
      </w:r>
    </w:p>
    <w:p w:rsidR="00971962" w:rsidRPr="00AB2EF7" w:rsidRDefault="006F5FD0" w:rsidP="00971962">
      <w:pPr>
        <w:ind w:left="709" w:hanging="349"/>
        <w:outlineLvl w:val="0"/>
        <w:rPr>
          <w:b/>
          <w:sz w:val="22"/>
          <w:szCs w:val="22"/>
        </w:rPr>
      </w:pPr>
      <w:r w:rsidRPr="00AB2EF7">
        <w:rPr>
          <w:rStyle w:val="Strong"/>
          <w:sz w:val="22"/>
        </w:rPr>
        <w:t xml:space="preserve">3. </w:t>
      </w:r>
      <w:r w:rsidRPr="00AB2EF7">
        <w:tab/>
      </w:r>
      <w:r w:rsidRPr="00AB2EF7">
        <w:rPr>
          <w:rStyle w:val="Strong"/>
          <w:sz w:val="22"/>
        </w:rPr>
        <w:t>Título del programa</w:t>
      </w:r>
    </w:p>
    <w:p w:rsidR="00971962" w:rsidRPr="00AB2EF7" w:rsidRDefault="00971962" w:rsidP="00971962">
      <w:pPr>
        <w:pStyle w:val="PRAGHeading2"/>
        <w:numPr>
          <w:ilvl w:val="0"/>
          <w:numId w:val="0"/>
        </w:numPr>
        <w:ind w:left="1134" w:hanging="567"/>
      </w:pPr>
      <w:r w:rsidRPr="00AB2EF7">
        <w:t xml:space="preserve">&lt; </w:t>
      </w:r>
      <w:r w:rsidRPr="00AB2EF7">
        <w:rPr>
          <w:rStyle w:val="Emphasis"/>
          <w:i w:val="0"/>
          <w:sz w:val="22"/>
          <w:highlight w:val="yellow"/>
        </w:rPr>
        <w:t>Especif</w:t>
      </w:r>
      <w:r w:rsidR="003F6918" w:rsidRPr="00AB2EF7">
        <w:rPr>
          <w:rStyle w:val="Emphasis"/>
          <w:i w:val="0"/>
          <w:sz w:val="22"/>
          <w:highlight w:val="yellow"/>
        </w:rPr>
        <w:t>ique</w:t>
      </w:r>
      <w:r w:rsidRPr="00AB2EF7">
        <w:rPr>
          <w:rStyle w:val="Emphasis"/>
          <w:i w:val="0"/>
          <w:sz w:val="22"/>
          <w:highlight w:val="yellow"/>
        </w:rPr>
        <w:t xml:space="preserve"> </w:t>
      </w:r>
      <w:r w:rsidR="0098341D" w:rsidRPr="00AB2EF7">
        <w:rPr>
          <w:rStyle w:val="Emphasis"/>
          <w:i w:val="0"/>
          <w:sz w:val="22"/>
          <w:highlight w:val="yellow"/>
        </w:rPr>
        <w:t>el título</w:t>
      </w:r>
      <w:r w:rsidRPr="00AB2EF7">
        <w:rPr>
          <w:rStyle w:val="Emphasis"/>
          <w:i w:val="0"/>
          <w:sz w:val="22"/>
          <w:highlight w:val="yellow"/>
        </w:rPr>
        <w:t xml:space="preserve"> del programa mencionad</w:t>
      </w:r>
      <w:r w:rsidR="0098341D" w:rsidRPr="00AB2EF7">
        <w:rPr>
          <w:rStyle w:val="Emphasis"/>
          <w:i w:val="0"/>
          <w:sz w:val="22"/>
          <w:highlight w:val="yellow"/>
        </w:rPr>
        <w:t>o</w:t>
      </w:r>
      <w:r w:rsidRPr="00AB2EF7">
        <w:rPr>
          <w:rStyle w:val="Emphasis"/>
          <w:i w:val="0"/>
          <w:sz w:val="22"/>
          <w:highlight w:val="yellow"/>
        </w:rPr>
        <w:t xml:space="preserve"> en el convenio de financiación/la decisión de financiación</w:t>
      </w:r>
      <w:r w:rsidRPr="00AB2EF7">
        <w:t xml:space="preserve"> &gt;</w:t>
      </w:r>
    </w:p>
    <w:p w:rsidR="006F5FD0" w:rsidRPr="00AB2EF7" w:rsidRDefault="006F5FD0" w:rsidP="00584BF4">
      <w:pPr>
        <w:ind w:left="709" w:hanging="349"/>
        <w:outlineLvl w:val="0"/>
        <w:rPr>
          <w:sz w:val="22"/>
          <w:szCs w:val="22"/>
        </w:rPr>
      </w:pPr>
      <w:r w:rsidRPr="00AB2EF7">
        <w:rPr>
          <w:rStyle w:val="Strong"/>
          <w:sz w:val="22"/>
        </w:rPr>
        <w:t xml:space="preserve">4. </w:t>
      </w:r>
      <w:r w:rsidRPr="00AB2EF7">
        <w:tab/>
      </w:r>
      <w:r w:rsidRPr="00AB2EF7">
        <w:rPr>
          <w:rStyle w:val="Strong"/>
          <w:sz w:val="22"/>
        </w:rPr>
        <w:t>Financiación</w:t>
      </w:r>
    </w:p>
    <w:p w:rsidR="00502217" w:rsidRPr="00AB2EF7" w:rsidRDefault="006F4E62" w:rsidP="00502217">
      <w:pPr>
        <w:pStyle w:val="Blockquote"/>
        <w:jc w:val="both"/>
        <w:rPr>
          <w:sz w:val="22"/>
          <w:szCs w:val="22"/>
        </w:rPr>
      </w:pPr>
      <w:r w:rsidRPr="00AB2EF7">
        <w:rPr>
          <w:rStyle w:val="Emphasis"/>
          <w:i w:val="0"/>
          <w:sz w:val="22"/>
          <w:szCs w:val="22"/>
        </w:rPr>
        <w:t>&lt;</w:t>
      </w:r>
      <w:r w:rsidRPr="00AB2EF7">
        <w:rPr>
          <w:rStyle w:val="Emphasis"/>
          <w:i w:val="0"/>
          <w:sz w:val="22"/>
          <w:szCs w:val="22"/>
          <w:highlight w:val="yellow"/>
        </w:rPr>
        <w:t>Línea presupuestaria/</w:t>
      </w:r>
      <w:r w:rsidR="009655FD">
        <w:rPr>
          <w:rStyle w:val="Emphasis"/>
          <w:i w:val="0"/>
          <w:sz w:val="22"/>
          <w:szCs w:val="22"/>
          <w:highlight w:val="yellow"/>
        </w:rPr>
        <w:t>c</w:t>
      </w:r>
      <w:r w:rsidRPr="00AB2EF7">
        <w:rPr>
          <w:rStyle w:val="Emphasis"/>
          <w:i w:val="0"/>
          <w:sz w:val="22"/>
          <w:szCs w:val="22"/>
          <w:highlight w:val="yellow"/>
        </w:rPr>
        <w:t>onvenio de financiación/</w:t>
      </w:r>
      <w:r w:rsidR="009655FD">
        <w:rPr>
          <w:rStyle w:val="Emphasis"/>
          <w:i w:val="0"/>
          <w:sz w:val="22"/>
          <w:szCs w:val="22"/>
          <w:highlight w:val="yellow"/>
        </w:rPr>
        <w:t>o</w:t>
      </w:r>
      <w:r w:rsidRPr="00AB2EF7">
        <w:rPr>
          <w:rStyle w:val="Emphasis"/>
          <w:i w:val="0"/>
          <w:sz w:val="22"/>
          <w:szCs w:val="22"/>
          <w:highlight w:val="yellow"/>
        </w:rPr>
        <w:t>tro</w:t>
      </w:r>
      <w:r w:rsidRPr="00AB2EF7">
        <w:rPr>
          <w:rStyle w:val="Emphasis"/>
          <w:i w:val="0"/>
          <w:sz w:val="22"/>
          <w:szCs w:val="22"/>
        </w:rPr>
        <w:t>&gt;</w:t>
      </w:r>
    </w:p>
    <w:p w:rsidR="006F5FD0" w:rsidRPr="00AB2EF7" w:rsidRDefault="006F5FD0" w:rsidP="00584BF4">
      <w:pPr>
        <w:ind w:left="709" w:hanging="349"/>
        <w:outlineLvl w:val="0"/>
        <w:rPr>
          <w:sz w:val="22"/>
          <w:szCs w:val="22"/>
        </w:rPr>
      </w:pPr>
      <w:r w:rsidRPr="00AB2EF7">
        <w:rPr>
          <w:rStyle w:val="Strong"/>
          <w:sz w:val="22"/>
        </w:rPr>
        <w:t xml:space="preserve">5. </w:t>
      </w:r>
      <w:r w:rsidRPr="00AB2EF7">
        <w:tab/>
      </w:r>
      <w:r w:rsidRPr="00AB2EF7">
        <w:rPr>
          <w:rStyle w:val="Strong"/>
          <w:sz w:val="22"/>
        </w:rPr>
        <w:t>Órgano de Contratación</w:t>
      </w:r>
    </w:p>
    <w:p w:rsidR="009655FD" w:rsidRPr="009655FD" w:rsidRDefault="00B42A35" w:rsidP="009655FD">
      <w:pPr>
        <w:ind w:left="357" w:right="357"/>
        <w:jc w:val="both"/>
        <w:rPr>
          <w:rStyle w:val="Emphasis"/>
          <w:i w:val="0"/>
          <w:sz w:val="22"/>
          <w:szCs w:val="22"/>
        </w:rPr>
      </w:pPr>
      <w:r w:rsidRPr="00AB2EF7">
        <w:rPr>
          <w:rStyle w:val="Emphasis"/>
          <w:i w:val="0"/>
          <w:sz w:val="22"/>
          <w:szCs w:val="22"/>
        </w:rPr>
        <w:t>[</w:t>
      </w:r>
      <w:r w:rsidRPr="00AB2EF7">
        <w:rPr>
          <w:rStyle w:val="Emphasis"/>
          <w:i w:val="0"/>
          <w:sz w:val="22"/>
          <w:szCs w:val="22"/>
          <w:highlight w:val="yellow"/>
        </w:rPr>
        <w:t xml:space="preserve">En gestión directa: </w:t>
      </w:r>
      <w:r w:rsidR="0098341D" w:rsidRPr="00AB2EF7">
        <w:rPr>
          <w:rStyle w:val="Emphasis"/>
          <w:i w:val="0"/>
          <w:sz w:val="22"/>
          <w:highlight w:val="lightGray"/>
        </w:rPr>
        <w:t>L</w:t>
      </w:r>
      <w:r w:rsidR="006F5FD0" w:rsidRPr="00AB2EF7">
        <w:rPr>
          <w:rStyle w:val="Emphasis"/>
          <w:i w:val="0"/>
          <w:sz w:val="22"/>
          <w:highlight w:val="lightGray"/>
        </w:rPr>
        <w:t>a Unión Europea, representada por la Comisión Europea, en nombre y por cuenta de</w:t>
      </w:r>
      <w:r w:rsidRPr="00AB2EF7">
        <w:rPr>
          <w:rStyle w:val="Emphasis"/>
          <w:i w:val="0"/>
          <w:sz w:val="22"/>
        </w:rPr>
        <w:t xml:space="preserve"> </w:t>
      </w:r>
      <w:r w:rsidRPr="00AB2EF7">
        <w:rPr>
          <w:rStyle w:val="Emphasis"/>
          <w:i w:val="0"/>
          <w:sz w:val="22"/>
          <w:szCs w:val="22"/>
        </w:rPr>
        <w:t>&lt;</w:t>
      </w:r>
      <w:r w:rsidR="00B66CEC">
        <w:rPr>
          <w:rStyle w:val="Emphasis"/>
          <w:i w:val="0"/>
          <w:sz w:val="22"/>
          <w:szCs w:val="22"/>
          <w:highlight w:val="yellow"/>
        </w:rPr>
        <w:t>e</w:t>
      </w:r>
      <w:r w:rsidRPr="00AB2EF7">
        <w:rPr>
          <w:rStyle w:val="Emphasis"/>
          <w:i w:val="0"/>
          <w:sz w:val="22"/>
          <w:szCs w:val="22"/>
          <w:highlight w:val="yellow"/>
        </w:rPr>
        <w:t>l/</w:t>
      </w:r>
      <w:r w:rsidR="00B66CEC">
        <w:rPr>
          <w:rStyle w:val="Emphasis"/>
          <w:i w:val="0"/>
          <w:sz w:val="22"/>
          <w:szCs w:val="22"/>
          <w:highlight w:val="yellow"/>
        </w:rPr>
        <w:t xml:space="preserve">los </w:t>
      </w:r>
      <w:r w:rsidRPr="00AB2EF7">
        <w:rPr>
          <w:rStyle w:val="Emphasis"/>
          <w:i w:val="0"/>
          <w:sz w:val="22"/>
          <w:szCs w:val="22"/>
          <w:highlight w:val="yellow"/>
        </w:rPr>
        <w:t>país</w:t>
      </w:r>
      <w:r w:rsidR="00B66CEC">
        <w:rPr>
          <w:rStyle w:val="Emphasis"/>
          <w:i w:val="0"/>
          <w:sz w:val="22"/>
          <w:szCs w:val="22"/>
          <w:highlight w:val="yellow"/>
        </w:rPr>
        <w:t>(</w:t>
      </w:r>
      <w:r w:rsidRPr="00AB2EF7">
        <w:rPr>
          <w:rStyle w:val="Emphasis"/>
          <w:i w:val="0"/>
          <w:sz w:val="22"/>
          <w:szCs w:val="22"/>
          <w:highlight w:val="yellow"/>
        </w:rPr>
        <w:t>es</w:t>
      </w:r>
      <w:r w:rsidR="00B66CEC">
        <w:rPr>
          <w:rStyle w:val="Emphasis"/>
          <w:i w:val="0"/>
          <w:sz w:val="22"/>
          <w:szCs w:val="22"/>
          <w:highlight w:val="yellow"/>
        </w:rPr>
        <w:t>)</w:t>
      </w:r>
      <w:r w:rsidRPr="00AB2EF7">
        <w:rPr>
          <w:rStyle w:val="Emphasis"/>
          <w:i w:val="0"/>
          <w:sz w:val="22"/>
          <w:szCs w:val="22"/>
          <w:highlight w:val="yellow"/>
        </w:rPr>
        <w:t xml:space="preserve"> socio(s)</w:t>
      </w:r>
      <w:r w:rsidRPr="00AB2EF7">
        <w:rPr>
          <w:rStyle w:val="Emphasis"/>
          <w:i w:val="0"/>
          <w:sz w:val="22"/>
          <w:szCs w:val="22"/>
        </w:rPr>
        <w:t>&gt;]</w:t>
      </w:r>
      <w:r w:rsidR="009655FD" w:rsidRPr="009655FD">
        <w:rPr>
          <w:rStyle w:val="Emphasis"/>
          <w:i w:val="0"/>
          <w:sz w:val="22"/>
          <w:szCs w:val="22"/>
        </w:rPr>
        <w:t xml:space="preserve"> </w:t>
      </w:r>
    </w:p>
    <w:p w:rsidR="008A1514" w:rsidRPr="009655FD" w:rsidRDefault="009655FD" w:rsidP="009655FD">
      <w:pPr>
        <w:ind w:left="426"/>
        <w:jc w:val="both"/>
        <w:rPr>
          <w:i/>
          <w:sz w:val="22"/>
          <w:szCs w:val="22"/>
          <w:highlight w:val="yellow"/>
        </w:rPr>
      </w:pPr>
      <w:r w:rsidRPr="009655FD">
        <w:rPr>
          <w:sz w:val="22"/>
          <w:szCs w:val="22"/>
          <w:highlight w:val="yellow"/>
        </w:rPr>
        <w:t xml:space="preserve">[En gestión directa en el interés de la UE y </w:t>
      </w:r>
      <w:r w:rsidRPr="009655FD">
        <w:rPr>
          <w:rStyle w:val="Emphasis"/>
          <w:i w:val="0"/>
          <w:sz w:val="22"/>
          <w:szCs w:val="22"/>
          <w:highlight w:val="yellow"/>
        </w:rPr>
        <w:t>el/</w:t>
      </w:r>
      <w:r>
        <w:rPr>
          <w:rStyle w:val="Emphasis"/>
          <w:i w:val="0"/>
          <w:sz w:val="22"/>
          <w:szCs w:val="22"/>
          <w:highlight w:val="yellow"/>
        </w:rPr>
        <w:t xml:space="preserve">los </w:t>
      </w:r>
      <w:r w:rsidRPr="00AB2EF7">
        <w:rPr>
          <w:rStyle w:val="Emphasis"/>
          <w:i w:val="0"/>
          <w:sz w:val="22"/>
          <w:szCs w:val="22"/>
          <w:highlight w:val="yellow"/>
        </w:rPr>
        <w:t>país</w:t>
      </w:r>
      <w:r>
        <w:rPr>
          <w:rStyle w:val="Emphasis"/>
          <w:i w:val="0"/>
          <w:sz w:val="22"/>
          <w:szCs w:val="22"/>
          <w:highlight w:val="yellow"/>
        </w:rPr>
        <w:t>(</w:t>
      </w:r>
      <w:r w:rsidRPr="00AB2EF7">
        <w:rPr>
          <w:rStyle w:val="Emphasis"/>
          <w:i w:val="0"/>
          <w:sz w:val="22"/>
          <w:szCs w:val="22"/>
          <w:highlight w:val="yellow"/>
        </w:rPr>
        <w:t>es</w:t>
      </w:r>
      <w:r>
        <w:rPr>
          <w:rStyle w:val="Emphasis"/>
          <w:i w:val="0"/>
          <w:sz w:val="22"/>
          <w:szCs w:val="22"/>
          <w:highlight w:val="yellow"/>
        </w:rPr>
        <w:t>)</w:t>
      </w:r>
      <w:r w:rsidRPr="00AB2EF7">
        <w:rPr>
          <w:rStyle w:val="Emphasis"/>
          <w:i w:val="0"/>
          <w:sz w:val="22"/>
          <w:szCs w:val="22"/>
          <w:highlight w:val="yellow"/>
        </w:rPr>
        <w:t xml:space="preserve"> socio(s)</w:t>
      </w:r>
      <w:r>
        <w:rPr>
          <w:rStyle w:val="Emphasis"/>
          <w:i w:val="0"/>
          <w:sz w:val="22"/>
          <w:szCs w:val="22"/>
        </w:rPr>
        <w:t xml:space="preserve">: </w:t>
      </w:r>
      <w:r w:rsidRPr="009655FD">
        <w:rPr>
          <w:rStyle w:val="Emphasis"/>
          <w:i w:val="0"/>
          <w:sz w:val="22"/>
          <w:szCs w:val="22"/>
          <w:highlight w:val="lightGray"/>
        </w:rPr>
        <w:t>L</w:t>
      </w:r>
      <w:r w:rsidRPr="009655FD">
        <w:rPr>
          <w:sz w:val="22"/>
          <w:szCs w:val="22"/>
          <w:highlight w:val="lightGray"/>
        </w:rPr>
        <w:t>a Unión Europea, representada por la Comisión Europea</w:t>
      </w:r>
      <w:r w:rsidRPr="009655FD">
        <w:rPr>
          <w:sz w:val="22"/>
          <w:szCs w:val="22"/>
        </w:rPr>
        <w:t>]</w:t>
      </w:r>
    </w:p>
    <w:p w:rsidR="009655FD" w:rsidRPr="009655FD" w:rsidRDefault="00B42A35" w:rsidP="009655FD">
      <w:pPr>
        <w:ind w:left="357" w:right="357"/>
        <w:jc w:val="both"/>
        <w:rPr>
          <w:rStyle w:val="Emphasis"/>
          <w:i w:val="0"/>
          <w:sz w:val="22"/>
          <w:szCs w:val="22"/>
        </w:rPr>
      </w:pPr>
      <w:r w:rsidRPr="00AB2EF7">
        <w:rPr>
          <w:rStyle w:val="Emphasis"/>
          <w:i w:val="0"/>
          <w:sz w:val="22"/>
          <w:szCs w:val="22"/>
        </w:rPr>
        <w:t>[</w:t>
      </w:r>
      <w:r w:rsidRPr="00AB2EF7">
        <w:rPr>
          <w:rStyle w:val="Emphasis"/>
          <w:i w:val="0"/>
          <w:sz w:val="22"/>
          <w:szCs w:val="22"/>
          <w:highlight w:val="yellow"/>
        </w:rPr>
        <w:t>En gestión indirecta: &lt;El país socio&gt;</w:t>
      </w:r>
      <w:r w:rsidRPr="00AB2EF7">
        <w:rPr>
          <w:rStyle w:val="Emphasis"/>
          <w:i w:val="0"/>
          <w:sz w:val="22"/>
          <w:szCs w:val="22"/>
        </w:rPr>
        <w:t>]</w:t>
      </w:r>
    </w:p>
    <w:p w:rsidR="007508E6" w:rsidRDefault="007508E6">
      <w:pPr>
        <w:widowControl/>
        <w:spacing w:before="0" w:after="0"/>
        <w:rPr>
          <w:sz w:val="22"/>
          <w:szCs w:val="22"/>
        </w:rPr>
      </w:pPr>
      <w:bookmarkStart w:id="0" w:name="_GoBack"/>
      <w:bookmarkEnd w:id="0"/>
      <w:r>
        <w:rPr>
          <w:sz w:val="22"/>
          <w:szCs w:val="22"/>
        </w:rPr>
        <w:br w:type="page"/>
      </w:r>
    </w:p>
    <w:p w:rsidR="006F5FD0" w:rsidRPr="00D50BBD" w:rsidRDefault="006F5FD0" w:rsidP="009655FD">
      <w:pPr>
        <w:ind w:left="709"/>
        <w:jc w:val="both"/>
        <w:rPr>
          <w:i/>
          <w:sz w:val="22"/>
          <w:szCs w:val="22"/>
        </w:rPr>
      </w:pPr>
    </w:p>
    <w:p w:rsidR="006F5FD0" w:rsidRPr="00D50BBD" w:rsidRDefault="00983763">
      <w:pPr>
        <w:rPr>
          <w:sz w:val="22"/>
          <w:szCs w:val="22"/>
        </w:rPr>
      </w:pPr>
      <w:r>
        <w:rPr>
          <w:noProof/>
          <w:snapToGrid/>
          <w:sz w:val="22"/>
          <w:szCs w:val="22"/>
          <w:lang w:val="fr-BE" w:eastAsia="fr-BE" w:bidi="ar-SA"/>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4FD3B"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0y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W8xstp/F76NKgd93hGcp+EdCOoLekz+&#10;JjBoOlAI6sbG/PmQPqzmq3k+ysez1ShPq2r0ab3MR7N1dj+tJtVyWWW/QsgsL1rBGFdBo8uQZPnf&#10;NeEwruf2vo7JtRrJLfqZ+RHEAgEvpGNThT46d+ROs9PGXpoN5iIaDzMcBu/tGfZv/zSL3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CPZ20y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AB2EF7" w:rsidRDefault="006F5FD0" w:rsidP="00D517A4">
      <w:pPr>
        <w:jc w:val="center"/>
        <w:rPr>
          <w:sz w:val="28"/>
          <w:szCs w:val="28"/>
        </w:rPr>
      </w:pPr>
      <w:r w:rsidRPr="00AB2EF7">
        <w:rPr>
          <w:rStyle w:val="Strong"/>
          <w:sz w:val="28"/>
        </w:rPr>
        <w:t>ESPECIFICACI</w:t>
      </w:r>
      <w:r w:rsidR="00A3742E">
        <w:rPr>
          <w:rStyle w:val="Strong"/>
          <w:sz w:val="28"/>
        </w:rPr>
        <w:t>Ó</w:t>
      </w:r>
      <w:r w:rsidRPr="00AB2EF7">
        <w:rPr>
          <w:rStyle w:val="Strong"/>
          <w:sz w:val="28"/>
        </w:rPr>
        <w:t>N DEL CONTRATO</w:t>
      </w:r>
    </w:p>
    <w:p w:rsidR="006F5FD0" w:rsidRPr="00AB2EF7" w:rsidRDefault="006F5FD0" w:rsidP="00584BF4">
      <w:pPr>
        <w:ind w:left="709" w:hanging="349"/>
        <w:outlineLvl w:val="0"/>
        <w:rPr>
          <w:sz w:val="22"/>
          <w:szCs w:val="22"/>
        </w:rPr>
      </w:pPr>
      <w:r w:rsidRPr="00AB2EF7">
        <w:rPr>
          <w:rStyle w:val="Strong"/>
          <w:sz w:val="22"/>
        </w:rPr>
        <w:t xml:space="preserve">6. </w:t>
      </w:r>
      <w:r w:rsidRPr="00AB2EF7">
        <w:tab/>
      </w:r>
      <w:r w:rsidRPr="00AB2EF7">
        <w:rPr>
          <w:rStyle w:val="Strong"/>
          <w:sz w:val="22"/>
        </w:rPr>
        <w:t xml:space="preserve">Naturaleza del </w:t>
      </w:r>
      <w:r w:rsidR="00A246D6" w:rsidRPr="00AB2EF7">
        <w:rPr>
          <w:rStyle w:val="Strong"/>
          <w:sz w:val="22"/>
        </w:rPr>
        <w:t>contrato</w:t>
      </w:r>
    </w:p>
    <w:p w:rsidR="006F5FD0" w:rsidRPr="00AB2EF7" w:rsidRDefault="00B42A35">
      <w:pPr>
        <w:pStyle w:val="Blockquote"/>
        <w:jc w:val="both"/>
        <w:rPr>
          <w:i/>
          <w:sz w:val="22"/>
          <w:szCs w:val="22"/>
        </w:rPr>
      </w:pPr>
      <w:r w:rsidRPr="00AB2EF7">
        <w:rPr>
          <w:rStyle w:val="Emphasis"/>
          <w:i w:val="0"/>
          <w:sz w:val="22"/>
        </w:rPr>
        <w:t>[</w:t>
      </w:r>
      <w:r w:rsidR="006F5FD0" w:rsidRPr="00AB2EF7">
        <w:rPr>
          <w:rStyle w:val="Emphasis"/>
          <w:i w:val="0"/>
          <w:sz w:val="22"/>
          <w:highlight w:val="lightGray"/>
        </w:rPr>
        <w:t>Precio global</w:t>
      </w:r>
      <w:r w:rsidRPr="00AB2EF7">
        <w:rPr>
          <w:rStyle w:val="Emphasis"/>
          <w:i w:val="0"/>
          <w:sz w:val="22"/>
        </w:rPr>
        <w:t>] [</w:t>
      </w:r>
      <w:r w:rsidRPr="00AB2EF7">
        <w:rPr>
          <w:rStyle w:val="Emphasis"/>
          <w:i w:val="0"/>
          <w:sz w:val="22"/>
          <w:highlight w:val="lightGray"/>
        </w:rPr>
        <w:t>B</w:t>
      </w:r>
      <w:r w:rsidR="006F5FD0" w:rsidRPr="00AB2EF7">
        <w:rPr>
          <w:rStyle w:val="Emphasis"/>
          <w:i w:val="0"/>
          <w:sz w:val="22"/>
          <w:highlight w:val="lightGray"/>
        </w:rPr>
        <w:t>asado en honorarios</w:t>
      </w:r>
      <w:r w:rsidRPr="00AB2EF7">
        <w:rPr>
          <w:rStyle w:val="Emphasis"/>
          <w:i w:val="0"/>
          <w:sz w:val="22"/>
        </w:rPr>
        <w:t>]</w:t>
      </w:r>
    </w:p>
    <w:p w:rsidR="006F5FD0" w:rsidRPr="00AB2EF7" w:rsidRDefault="006F5FD0" w:rsidP="00584BF4">
      <w:pPr>
        <w:ind w:left="709" w:hanging="352"/>
        <w:outlineLvl w:val="0"/>
        <w:rPr>
          <w:sz w:val="22"/>
          <w:szCs w:val="22"/>
        </w:rPr>
      </w:pPr>
      <w:r w:rsidRPr="00AB2EF7">
        <w:rPr>
          <w:rStyle w:val="Strong"/>
          <w:sz w:val="22"/>
        </w:rPr>
        <w:t xml:space="preserve">7. </w:t>
      </w:r>
      <w:r w:rsidRPr="00AB2EF7">
        <w:tab/>
      </w:r>
      <w:r w:rsidRPr="00AB2EF7">
        <w:rPr>
          <w:rStyle w:val="Strong"/>
          <w:sz w:val="22"/>
        </w:rPr>
        <w:t xml:space="preserve">Descripción del </w:t>
      </w:r>
      <w:r w:rsidR="00A246D6" w:rsidRPr="00AB2EF7">
        <w:rPr>
          <w:rStyle w:val="Strong"/>
          <w:sz w:val="22"/>
        </w:rPr>
        <w:t>contrato</w:t>
      </w:r>
    </w:p>
    <w:p w:rsidR="006F5FD0" w:rsidRPr="00AB2EF7" w:rsidRDefault="006F5FD0">
      <w:pPr>
        <w:pStyle w:val="Blockquote"/>
        <w:jc w:val="both"/>
        <w:rPr>
          <w:i/>
          <w:sz w:val="22"/>
          <w:szCs w:val="22"/>
        </w:rPr>
      </w:pPr>
      <w:r w:rsidRPr="00AB2EF7">
        <w:rPr>
          <w:rStyle w:val="Emphasis"/>
          <w:i w:val="0"/>
          <w:sz w:val="22"/>
        </w:rPr>
        <w:t xml:space="preserve">&lt; </w:t>
      </w:r>
      <w:r w:rsidRPr="00AB2EF7">
        <w:rPr>
          <w:rStyle w:val="Emphasis"/>
          <w:i w:val="0"/>
          <w:sz w:val="22"/>
          <w:highlight w:val="yellow"/>
        </w:rPr>
        <w:t>Se recomienda 10 líneas, máximo 20 líneas</w:t>
      </w:r>
      <w:r w:rsidRPr="00AB2EF7">
        <w:rPr>
          <w:rStyle w:val="Emphasis"/>
          <w:i w:val="0"/>
          <w:sz w:val="22"/>
        </w:rPr>
        <w:t xml:space="preserve"> &gt;</w:t>
      </w:r>
    </w:p>
    <w:p w:rsidR="006F5FD0" w:rsidRPr="00AB2EF7" w:rsidRDefault="006F5FD0" w:rsidP="00584BF4">
      <w:pPr>
        <w:ind w:left="709" w:hanging="349"/>
        <w:outlineLvl w:val="0"/>
        <w:rPr>
          <w:sz w:val="22"/>
          <w:szCs w:val="22"/>
        </w:rPr>
      </w:pPr>
      <w:r w:rsidRPr="00AB2EF7">
        <w:rPr>
          <w:rStyle w:val="Strong"/>
          <w:sz w:val="22"/>
        </w:rPr>
        <w:t xml:space="preserve">8. </w:t>
      </w:r>
      <w:r w:rsidRPr="00AB2EF7">
        <w:tab/>
      </w:r>
      <w:r w:rsidRPr="00AB2EF7">
        <w:rPr>
          <w:rStyle w:val="Strong"/>
          <w:sz w:val="22"/>
        </w:rPr>
        <w:t xml:space="preserve">Número y </w:t>
      </w:r>
      <w:r w:rsidR="0098341D" w:rsidRPr="00AB2EF7">
        <w:rPr>
          <w:rStyle w:val="Strong"/>
          <w:sz w:val="22"/>
        </w:rPr>
        <w:t>título</w:t>
      </w:r>
      <w:r w:rsidRPr="00AB2EF7">
        <w:rPr>
          <w:rStyle w:val="Strong"/>
          <w:sz w:val="22"/>
        </w:rPr>
        <w:t xml:space="preserve"> de los lotes</w:t>
      </w:r>
    </w:p>
    <w:p w:rsidR="00E9047D" w:rsidRPr="00AB2EF7" w:rsidRDefault="00B42A35" w:rsidP="00584BF4">
      <w:pPr>
        <w:ind w:left="709" w:hanging="349"/>
        <w:outlineLvl w:val="0"/>
        <w:rPr>
          <w:rStyle w:val="Emphasis"/>
          <w:i w:val="0"/>
          <w:sz w:val="22"/>
          <w:szCs w:val="22"/>
        </w:rPr>
      </w:pPr>
      <w:r w:rsidRPr="00AB2EF7">
        <w:rPr>
          <w:rStyle w:val="Emphasis"/>
          <w:i w:val="0"/>
          <w:sz w:val="22"/>
          <w:szCs w:val="22"/>
        </w:rPr>
        <w:t>[</w:t>
      </w:r>
      <w:r w:rsidRPr="00AB2EF7">
        <w:rPr>
          <w:rStyle w:val="Emphasis"/>
          <w:i w:val="0"/>
          <w:sz w:val="22"/>
          <w:szCs w:val="22"/>
          <w:highlight w:val="lightGray"/>
        </w:rPr>
        <w:t>Un solo lote</w:t>
      </w:r>
      <w:r w:rsidRPr="00AB2EF7">
        <w:rPr>
          <w:rStyle w:val="Emphasis"/>
          <w:i w:val="0"/>
          <w:sz w:val="22"/>
          <w:szCs w:val="22"/>
        </w:rPr>
        <w:t>]</w:t>
      </w:r>
    </w:p>
    <w:p w:rsidR="00571687" w:rsidRPr="00AB2EF7" w:rsidRDefault="00B42A35" w:rsidP="00584BF4">
      <w:pPr>
        <w:ind w:left="709" w:hanging="349"/>
        <w:outlineLvl w:val="0"/>
        <w:rPr>
          <w:rStyle w:val="Emphasis"/>
          <w:i w:val="0"/>
          <w:sz w:val="22"/>
          <w:szCs w:val="22"/>
        </w:rPr>
      </w:pPr>
      <w:r w:rsidRPr="00AB2EF7">
        <w:rPr>
          <w:rStyle w:val="Emphasis"/>
          <w:i w:val="0"/>
          <w:sz w:val="22"/>
          <w:szCs w:val="22"/>
        </w:rPr>
        <w:t>[</w:t>
      </w:r>
      <w:r w:rsidRPr="00AB2EF7">
        <w:rPr>
          <w:rStyle w:val="Emphasis"/>
          <w:i w:val="0"/>
          <w:sz w:val="22"/>
          <w:szCs w:val="22"/>
          <w:highlight w:val="yellow"/>
        </w:rPr>
        <w:t>Si hay más de un lote:</w:t>
      </w:r>
      <w:r w:rsidRPr="00AB2EF7">
        <w:rPr>
          <w:rStyle w:val="Emphasis"/>
          <w:i w:val="0"/>
          <w:sz w:val="22"/>
          <w:szCs w:val="22"/>
        </w:rPr>
        <w:t xml:space="preserve"> &lt;</w:t>
      </w:r>
      <w:r w:rsidRPr="00AB2EF7">
        <w:rPr>
          <w:rStyle w:val="Emphasis"/>
          <w:i w:val="0"/>
          <w:sz w:val="22"/>
          <w:szCs w:val="22"/>
          <w:highlight w:val="yellow"/>
        </w:rPr>
        <w:t>número de lot</w:t>
      </w:r>
      <w:r w:rsidR="003F6918" w:rsidRPr="00AB2EF7">
        <w:rPr>
          <w:rStyle w:val="Emphasis"/>
          <w:i w:val="0"/>
          <w:sz w:val="22"/>
          <w:szCs w:val="22"/>
          <w:highlight w:val="yellow"/>
        </w:rPr>
        <w:t>e</w:t>
      </w:r>
      <w:r w:rsidRPr="00AB2EF7">
        <w:rPr>
          <w:rStyle w:val="Emphasis"/>
          <w:i w:val="0"/>
          <w:sz w:val="22"/>
          <w:szCs w:val="22"/>
          <w:highlight w:val="yellow"/>
        </w:rPr>
        <w:t>s:</w:t>
      </w:r>
      <w:r w:rsidRPr="00AB2EF7">
        <w:rPr>
          <w:rStyle w:val="Emphasis"/>
          <w:i w:val="0"/>
          <w:sz w:val="22"/>
          <w:szCs w:val="22"/>
        </w:rPr>
        <w:t xml:space="preserve"> </w:t>
      </w:r>
      <w:r w:rsidRPr="00AB2EF7">
        <w:rPr>
          <w:rStyle w:val="Emphasis"/>
          <w:i w:val="0"/>
          <w:sz w:val="22"/>
          <w:highlight w:val="yellow"/>
        </w:rPr>
        <w:t>(mín</w:t>
      </w:r>
      <w:r w:rsidR="00B66CEC">
        <w:rPr>
          <w:rStyle w:val="Emphasis"/>
          <w:i w:val="0"/>
          <w:sz w:val="22"/>
          <w:highlight w:val="yellow"/>
        </w:rPr>
        <w:t>.</w:t>
      </w:r>
      <w:r w:rsidRPr="00AB2EF7">
        <w:rPr>
          <w:rStyle w:val="Emphasis"/>
          <w:i w:val="0"/>
          <w:sz w:val="22"/>
          <w:highlight w:val="yellow"/>
        </w:rPr>
        <w:t xml:space="preserve"> =2 máx</w:t>
      </w:r>
      <w:r w:rsidR="00B66CEC">
        <w:rPr>
          <w:rStyle w:val="Emphasis"/>
          <w:i w:val="0"/>
          <w:sz w:val="22"/>
          <w:highlight w:val="yellow"/>
        </w:rPr>
        <w:t>.</w:t>
      </w:r>
      <w:r w:rsidRPr="00AB2EF7">
        <w:rPr>
          <w:rStyle w:val="Emphasis"/>
          <w:i w:val="0"/>
          <w:sz w:val="22"/>
          <w:highlight w:val="yellow"/>
        </w:rPr>
        <w:t>=20)</w:t>
      </w:r>
      <w:r w:rsidRPr="00AB2EF7">
        <w:rPr>
          <w:rStyle w:val="Emphasis"/>
          <w:i w:val="0"/>
          <w:sz w:val="22"/>
          <w:szCs w:val="22"/>
        </w:rPr>
        <w:t xml:space="preserve"> &gt;</w:t>
      </w:r>
    </w:p>
    <w:p w:rsidR="00DA0ABA" w:rsidRPr="00AB2EF7" w:rsidRDefault="00B42A35" w:rsidP="00584BF4">
      <w:pPr>
        <w:ind w:left="709" w:hanging="349"/>
        <w:outlineLvl w:val="0"/>
        <w:rPr>
          <w:rStyle w:val="Emphasis"/>
          <w:i w:val="0"/>
          <w:sz w:val="22"/>
          <w:szCs w:val="22"/>
        </w:rPr>
      </w:pPr>
      <w:r w:rsidRPr="00AB2EF7">
        <w:rPr>
          <w:rStyle w:val="Emphasis"/>
          <w:i w:val="0"/>
          <w:sz w:val="22"/>
          <w:szCs w:val="22"/>
        </w:rPr>
        <w:t>&lt;</w:t>
      </w:r>
      <w:r w:rsidRPr="00AB2EF7">
        <w:rPr>
          <w:rStyle w:val="Emphasis"/>
          <w:i w:val="0"/>
          <w:sz w:val="22"/>
          <w:szCs w:val="22"/>
          <w:highlight w:val="lightGray"/>
        </w:rPr>
        <w:t>Lote</w:t>
      </w:r>
      <w:r w:rsidR="00AE3382" w:rsidRPr="00AB2EF7">
        <w:rPr>
          <w:rStyle w:val="Emphasis"/>
          <w:i w:val="0"/>
          <w:sz w:val="22"/>
          <w:szCs w:val="22"/>
          <w:highlight w:val="lightGray"/>
        </w:rPr>
        <w:t xml:space="preserve"> </w:t>
      </w:r>
      <w:r w:rsidRPr="00AB2EF7">
        <w:rPr>
          <w:rStyle w:val="Emphasis"/>
          <w:i w:val="0"/>
          <w:sz w:val="22"/>
          <w:szCs w:val="22"/>
          <w:highlight w:val="lightGray"/>
        </w:rPr>
        <w:t>Título:</w:t>
      </w:r>
    </w:p>
    <w:p w:rsidR="00DA0ABA" w:rsidRPr="00AB2EF7" w:rsidRDefault="00DA0ABA" w:rsidP="00584BF4">
      <w:pPr>
        <w:ind w:left="709" w:hanging="349"/>
        <w:outlineLvl w:val="0"/>
        <w:rPr>
          <w:rStyle w:val="Emphasis"/>
          <w:i w:val="0"/>
          <w:sz w:val="22"/>
          <w:szCs w:val="22"/>
        </w:rPr>
      </w:pPr>
      <w:r w:rsidRPr="00AB2EF7">
        <w:rPr>
          <w:rStyle w:val="Emphasis"/>
          <w:i w:val="0"/>
          <w:sz w:val="22"/>
          <w:highlight w:val="lightGray"/>
        </w:rPr>
        <w:t>01</w:t>
      </w:r>
    </w:p>
    <w:p w:rsidR="00DA0ABA" w:rsidRPr="00AB2EF7" w:rsidRDefault="00DA0ABA" w:rsidP="00584BF4">
      <w:pPr>
        <w:ind w:left="709" w:hanging="349"/>
        <w:outlineLvl w:val="0"/>
        <w:rPr>
          <w:rStyle w:val="Emphasis"/>
          <w:i w:val="0"/>
          <w:sz w:val="22"/>
          <w:szCs w:val="22"/>
        </w:rPr>
      </w:pPr>
      <w:r w:rsidRPr="00AB2EF7">
        <w:rPr>
          <w:rStyle w:val="Emphasis"/>
          <w:i w:val="0"/>
          <w:sz w:val="22"/>
          <w:highlight w:val="lightGray"/>
        </w:rPr>
        <w:t>02</w:t>
      </w:r>
    </w:p>
    <w:p w:rsidR="00DA0ABA" w:rsidRPr="00AB2EF7" w:rsidRDefault="00DA0ABA" w:rsidP="00584BF4">
      <w:pPr>
        <w:ind w:left="709" w:hanging="349"/>
        <w:outlineLvl w:val="0"/>
        <w:rPr>
          <w:rStyle w:val="Emphasis"/>
          <w:i w:val="0"/>
          <w:sz w:val="22"/>
          <w:szCs w:val="22"/>
        </w:rPr>
      </w:pPr>
      <w:r w:rsidRPr="00AB2EF7">
        <w:rPr>
          <w:rStyle w:val="Emphasis"/>
          <w:i w:val="0"/>
          <w:sz w:val="22"/>
          <w:highlight w:val="yellow"/>
        </w:rPr>
        <w:t>(…)</w:t>
      </w:r>
      <w:r w:rsidRPr="00AB2EF7">
        <w:rPr>
          <w:rStyle w:val="Emphasis"/>
          <w:i w:val="0"/>
          <w:sz w:val="22"/>
        </w:rPr>
        <w:t>&gt;</w:t>
      </w:r>
    </w:p>
    <w:p w:rsidR="006F5FD0" w:rsidRPr="00AB2EF7" w:rsidRDefault="006F5FD0" w:rsidP="00584BF4">
      <w:pPr>
        <w:ind w:left="709" w:hanging="349"/>
        <w:outlineLvl w:val="0"/>
        <w:rPr>
          <w:rStyle w:val="Strong"/>
          <w:sz w:val="22"/>
          <w:szCs w:val="22"/>
        </w:rPr>
      </w:pPr>
      <w:r w:rsidRPr="00AB2EF7">
        <w:rPr>
          <w:rStyle w:val="Strong"/>
          <w:sz w:val="22"/>
        </w:rPr>
        <w:t xml:space="preserve">9. </w:t>
      </w:r>
      <w:r w:rsidRPr="00AB2EF7">
        <w:tab/>
      </w:r>
      <w:r w:rsidRPr="00AB2EF7">
        <w:rPr>
          <w:rStyle w:val="Strong"/>
          <w:sz w:val="22"/>
        </w:rPr>
        <w:t>Presupuesto máximo</w:t>
      </w:r>
    </w:p>
    <w:p w:rsidR="00DA0ABA" w:rsidRPr="00AB2EF7" w:rsidRDefault="00DA0ABA" w:rsidP="00584BF4">
      <w:pPr>
        <w:ind w:left="709" w:hanging="349"/>
        <w:outlineLvl w:val="0"/>
        <w:rPr>
          <w:rStyle w:val="Strong"/>
          <w:b w:val="0"/>
          <w:sz w:val="22"/>
        </w:rPr>
      </w:pPr>
      <w:r w:rsidRPr="00AB2EF7">
        <w:rPr>
          <w:rStyle w:val="Strong"/>
          <w:b w:val="0"/>
          <w:sz w:val="22"/>
          <w:highlight w:val="yellow"/>
        </w:rPr>
        <w:t>Únicamente cifras:</w:t>
      </w:r>
    </w:p>
    <w:p w:rsidR="006F4E62" w:rsidRPr="00B66CEC" w:rsidRDefault="006F4E62" w:rsidP="006F4E62">
      <w:pPr>
        <w:pStyle w:val="Blockquote"/>
        <w:jc w:val="both"/>
        <w:rPr>
          <w:rStyle w:val="Strong"/>
          <w:b w:val="0"/>
          <w:sz w:val="22"/>
          <w:szCs w:val="22"/>
        </w:rPr>
      </w:pPr>
      <w:r w:rsidRPr="00B66CEC">
        <w:rPr>
          <w:rStyle w:val="Strong"/>
          <w:b w:val="0"/>
          <w:sz w:val="22"/>
          <w:szCs w:val="22"/>
        </w:rPr>
        <w:t>&lt;</w:t>
      </w:r>
      <w:r w:rsidRPr="00B66CEC">
        <w:rPr>
          <w:rStyle w:val="Strong"/>
          <w:b w:val="0"/>
          <w:sz w:val="22"/>
          <w:szCs w:val="22"/>
          <w:highlight w:val="yellow"/>
        </w:rPr>
        <w:t>importe</w:t>
      </w:r>
      <w:r w:rsidRPr="00B66CEC">
        <w:rPr>
          <w:rStyle w:val="Strong"/>
          <w:b w:val="0"/>
          <w:sz w:val="22"/>
          <w:szCs w:val="22"/>
        </w:rPr>
        <w:t xml:space="preserve">&gt; </w:t>
      </w:r>
      <w:r w:rsidRPr="00B66CEC">
        <w:rPr>
          <w:sz w:val="22"/>
          <w:szCs w:val="22"/>
          <w:highlight w:val="lightGray"/>
        </w:rPr>
        <w:t>[EUR]</w:t>
      </w:r>
      <w:r w:rsidRPr="00B66CEC">
        <w:rPr>
          <w:sz w:val="22"/>
          <w:szCs w:val="22"/>
        </w:rPr>
        <w:t xml:space="preserve"> [</w:t>
      </w:r>
      <w:r w:rsidRPr="00B66CEC">
        <w:rPr>
          <w:sz w:val="22"/>
          <w:szCs w:val="22"/>
          <w:highlight w:val="lightGray"/>
        </w:rPr>
        <w:t>&lt;</w:t>
      </w:r>
      <w:r w:rsidRPr="00B66CEC">
        <w:rPr>
          <w:sz w:val="22"/>
          <w:szCs w:val="22"/>
          <w:highlight w:val="yellow"/>
        </w:rPr>
        <w:t>código ISO de la moneda nacional</w:t>
      </w:r>
      <w:r w:rsidRPr="00B66CEC">
        <w:rPr>
          <w:sz w:val="22"/>
          <w:szCs w:val="22"/>
          <w:highlight w:val="lightGray"/>
        </w:rPr>
        <w:t>&gt;</w:t>
      </w:r>
      <w:r w:rsidR="00AB2EF7" w:rsidRPr="00B66CEC">
        <w:rPr>
          <w:sz w:val="22"/>
          <w:szCs w:val="22"/>
          <w:highlight w:val="yellow"/>
        </w:rPr>
        <w:t xml:space="preserve"> </w:t>
      </w:r>
      <w:r w:rsidRPr="00B66CEC">
        <w:rPr>
          <w:sz w:val="22"/>
          <w:szCs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w:t>
      </w:r>
      <w:r w:rsidR="00B66CEC" w:rsidRPr="00B66CEC">
        <w:rPr>
          <w:sz w:val="22"/>
          <w:szCs w:val="22"/>
          <w:highlight w:val="yellow"/>
        </w:rPr>
        <w:t>-</w:t>
      </w:r>
      <w:r w:rsidRPr="00B66CEC">
        <w:rPr>
          <w:sz w:val="22"/>
          <w:szCs w:val="22"/>
          <w:highlight w:val="yellow"/>
        </w:rPr>
        <w:t>programa]</w:t>
      </w:r>
    </w:p>
    <w:p w:rsidR="006F5FD0" w:rsidRPr="00AB2EF7" w:rsidRDefault="00983763">
      <w:pPr>
        <w:pStyle w:val="Blockquote"/>
        <w:jc w:val="both"/>
        <w:rPr>
          <w:sz w:val="22"/>
          <w:szCs w:val="22"/>
        </w:rPr>
      </w:pPr>
      <w:r>
        <w:rPr>
          <w:noProof/>
          <w:snapToGrid/>
          <w:sz w:val="22"/>
          <w:szCs w:val="22"/>
          <w:lang w:val="fr-BE" w:eastAsia="fr-BE" w:bidi="ar-SA"/>
        </w:rPr>
        <mc:AlternateContent>
          <mc:Choice Requires="wps">
            <w:drawing>
              <wp:anchor distT="0" distB="0" distL="114300" distR="114300" simplePos="0" relativeHeight="251656704" behindDoc="0" locked="0" layoutInCell="0" allowOverlap="1">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05DEC"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jM6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" o:allowincell="f" strokecolor="#d4d4d4" strokeweight="1.75pt">
                <v:shadow on="t" origin=".5,-.5" offset="0,-1pt"/>
              </v:line>
            </w:pict>
          </mc:Fallback>
        </mc:AlternateContent>
      </w:r>
    </w:p>
    <w:p w:rsidR="006F5FD0" w:rsidRPr="00AB2EF7" w:rsidRDefault="006F5FD0" w:rsidP="00D517A4">
      <w:pPr>
        <w:jc w:val="center"/>
        <w:rPr>
          <w:sz w:val="28"/>
          <w:szCs w:val="28"/>
        </w:rPr>
      </w:pPr>
      <w:r w:rsidRPr="00AB2EF7">
        <w:rPr>
          <w:rStyle w:val="Strong"/>
          <w:sz w:val="28"/>
        </w:rPr>
        <w:t>CONDICIONES DE PARTICIPACIÓN</w:t>
      </w:r>
    </w:p>
    <w:p w:rsidR="006F5FD0" w:rsidRPr="00AB2EF7" w:rsidRDefault="006F5FD0" w:rsidP="00584BF4">
      <w:pPr>
        <w:ind w:left="709" w:hanging="349"/>
        <w:outlineLvl w:val="0"/>
        <w:rPr>
          <w:sz w:val="22"/>
          <w:szCs w:val="22"/>
        </w:rPr>
      </w:pPr>
      <w:r w:rsidRPr="00AB2EF7">
        <w:rPr>
          <w:rStyle w:val="Strong"/>
          <w:sz w:val="22"/>
        </w:rPr>
        <w:t xml:space="preserve">10. </w:t>
      </w:r>
      <w:r w:rsidRPr="00AB2EF7">
        <w:tab/>
      </w:r>
      <w:r w:rsidRPr="00AB2EF7">
        <w:rPr>
          <w:rStyle w:val="Strong"/>
          <w:sz w:val="22"/>
        </w:rPr>
        <w:t>Elegibilidad</w:t>
      </w:r>
    </w:p>
    <w:p w:rsidR="007F0A41" w:rsidRDefault="00D93082" w:rsidP="00D93082">
      <w:pPr>
        <w:widowControl/>
        <w:spacing w:before="360" w:after="360"/>
        <w:ind w:left="709"/>
        <w:jc w:val="both"/>
        <w:rPr>
          <w:sz w:val="22"/>
          <w:szCs w:val="22"/>
        </w:rPr>
      </w:pPr>
      <w:r w:rsidRPr="00AB2EF7">
        <w:rPr>
          <w:sz w:val="22"/>
          <w:szCs w:val="22"/>
        </w:rPr>
        <w:t>[</w:t>
      </w:r>
      <w:r w:rsidR="00E5492A" w:rsidRPr="00E5492A">
        <w:rPr>
          <w:sz w:val="22"/>
          <w:szCs w:val="22"/>
          <w:highlight w:val="yellow"/>
        </w:rPr>
        <w:t>P</w:t>
      </w:r>
      <w:r w:rsidR="00E5492A" w:rsidRPr="00E5492A">
        <w:rPr>
          <w:highlight w:val="yellow"/>
        </w:rPr>
        <w:t>resupuesto general de la Unión</w:t>
      </w:r>
      <w:r w:rsidR="00E5492A" w:rsidRPr="00E5492A">
        <w:rPr>
          <w:sz w:val="22"/>
          <w:szCs w:val="22"/>
          <w:highlight w:val="yellow"/>
        </w:rPr>
        <w:t xml:space="preserve"> </w:t>
      </w:r>
      <w:r w:rsidRPr="00AB2EF7">
        <w:rPr>
          <w:sz w:val="22"/>
          <w:szCs w:val="22"/>
          <w:highlight w:val="yellow"/>
        </w:rPr>
        <w:t xml:space="preserve">para convocatorias en las que se aplica el Reglamento de </w:t>
      </w:r>
      <w:r w:rsidR="0098341D" w:rsidRPr="00AB2EF7">
        <w:rPr>
          <w:sz w:val="22"/>
          <w:szCs w:val="22"/>
          <w:highlight w:val="yellow"/>
        </w:rPr>
        <w:t>e</w:t>
      </w:r>
      <w:r w:rsidRPr="00AB2EF7">
        <w:rPr>
          <w:sz w:val="22"/>
          <w:szCs w:val="22"/>
          <w:highlight w:val="yellow"/>
        </w:rPr>
        <w:t>jecución común (REC):</w:t>
      </w:r>
      <w:r w:rsidRPr="00AB2EF7">
        <w:rPr>
          <w:sz w:val="22"/>
          <w:szCs w:val="22"/>
        </w:rPr>
        <w:t xml:space="preserve"> </w:t>
      </w:r>
      <w:r w:rsidRPr="00AB2EF7">
        <w:rPr>
          <w:sz w:val="22"/>
          <w:szCs w:val="22"/>
          <w:highlight w:val="lightGray"/>
        </w:rPr>
        <w:t>La participación está abierta a todas las personas físicas que sean nacionales y a las personas jurídicas [ya participen individualmente o constituyendo una agrupación (consorcio)</w:t>
      </w:r>
      <w:r w:rsidR="0098341D" w:rsidRPr="00AB2EF7">
        <w:rPr>
          <w:sz w:val="22"/>
          <w:szCs w:val="22"/>
          <w:highlight w:val="lightGray"/>
        </w:rPr>
        <w:t xml:space="preserve"> de licitadores</w:t>
      </w:r>
      <w:r w:rsidRPr="00AB2EF7">
        <w:rPr>
          <w:sz w:val="22"/>
          <w:szCs w:val="22"/>
          <w:highlight w:val="lightGray"/>
        </w:rPr>
        <w:t>] establecidas en uno de los Estados miembros de la Unión Europea o en uno de los países o territorios elegibles conforme al Reglamento (UE) n</w:t>
      </w:r>
      <w:r w:rsidR="00B66CEC">
        <w:rPr>
          <w:sz w:val="22"/>
          <w:szCs w:val="22"/>
          <w:highlight w:val="lightGray"/>
        </w:rPr>
        <w:t>.</w:t>
      </w:r>
      <w:r w:rsidRPr="00AB2EF7">
        <w:rPr>
          <w:sz w:val="22"/>
          <w:szCs w:val="22"/>
          <w:highlight w:val="lightGray"/>
        </w:rPr>
        <w:t xml:space="preserve">º 236/2014 por el que se establecen normas y procedimientos de ejecución comunes de los instrumentos de la Unión para la financiación de la acción exterior (REC) para el instrumento aplicable con el cual se financia el </w:t>
      </w:r>
      <w:r w:rsidR="00A246D6" w:rsidRPr="00AB2EF7">
        <w:rPr>
          <w:sz w:val="22"/>
          <w:szCs w:val="22"/>
          <w:highlight w:val="lightGray"/>
        </w:rPr>
        <w:t>contrato</w:t>
      </w:r>
      <w:r w:rsidR="00C555FD" w:rsidRPr="00AB2EF7">
        <w:rPr>
          <w:sz w:val="22"/>
          <w:szCs w:val="22"/>
          <w:highlight w:val="lightGray"/>
        </w:rPr>
        <w:t xml:space="preserve"> </w:t>
      </w:r>
      <w:r w:rsidRPr="00AB2EF7">
        <w:rPr>
          <w:sz w:val="22"/>
          <w:szCs w:val="22"/>
          <w:highlight w:val="lightGray"/>
        </w:rPr>
        <w:t xml:space="preserve">(véase el </w:t>
      </w:r>
      <w:r w:rsidR="003F6918" w:rsidRPr="00AB2EF7">
        <w:rPr>
          <w:sz w:val="22"/>
          <w:szCs w:val="22"/>
          <w:highlight w:val="lightGray"/>
        </w:rPr>
        <w:t>punto</w:t>
      </w:r>
      <w:r w:rsidRPr="00AB2EF7">
        <w:rPr>
          <w:sz w:val="22"/>
          <w:szCs w:val="22"/>
          <w:highlight w:val="lightGray"/>
        </w:rPr>
        <w:t xml:space="preserve"> 2</w:t>
      </w:r>
      <w:r w:rsidR="00424EF8">
        <w:rPr>
          <w:sz w:val="22"/>
          <w:szCs w:val="22"/>
          <w:highlight w:val="lightGray"/>
        </w:rPr>
        <w:t>3</w:t>
      </w:r>
      <w:r w:rsidRPr="00AB2EF7">
        <w:rPr>
          <w:sz w:val="22"/>
          <w:szCs w:val="22"/>
          <w:highlight w:val="lightGray"/>
        </w:rPr>
        <w:t xml:space="preserve"> más adelante).</w:t>
      </w:r>
      <w:r w:rsidR="00C555FD" w:rsidRPr="00AB2EF7">
        <w:rPr>
          <w:sz w:val="22"/>
          <w:szCs w:val="22"/>
          <w:highlight w:val="lightGray"/>
        </w:rPr>
        <w:t xml:space="preserve"> </w:t>
      </w:r>
      <w:r w:rsidRPr="00AB2EF7">
        <w:rPr>
          <w:sz w:val="22"/>
          <w:szCs w:val="22"/>
          <w:highlight w:val="lightGray"/>
        </w:rPr>
        <w:t>La participación está abierta también a las organizaciones internacionales.</w:t>
      </w:r>
      <w:r w:rsidRPr="00AB2EF7">
        <w:rPr>
          <w:sz w:val="22"/>
          <w:szCs w:val="22"/>
        </w:rPr>
        <w:t>]</w:t>
      </w:r>
    </w:p>
    <w:p w:rsidR="00D93082" w:rsidRPr="00AB2EF7" w:rsidRDefault="00457E45" w:rsidP="00256DBF">
      <w:pPr>
        <w:widowControl/>
        <w:spacing w:before="360" w:after="360"/>
        <w:ind w:left="709"/>
        <w:jc w:val="both"/>
        <w:rPr>
          <w:sz w:val="22"/>
          <w:szCs w:val="22"/>
        </w:rPr>
      </w:pPr>
      <w:r w:rsidDel="00457E45">
        <w:rPr>
          <w:sz w:val="22"/>
          <w:highlight w:val="yellow"/>
        </w:rPr>
        <w:t xml:space="preserve"> </w:t>
      </w:r>
      <w:r w:rsidR="00D93082" w:rsidRPr="00AB2EF7">
        <w:rPr>
          <w:sz w:val="22"/>
          <w:szCs w:val="22"/>
          <w:highlight w:val="yellow"/>
        </w:rPr>
        <w:t>[</w:t>
      </w:r>
      <w:r w:rsidR="00E5492A" w:rsidRPr="00E5492A">
        <w:rPr>
          <w:sz w:val="22"/>
          <w:szCs w:val="22"/>
          <w:highlight w:val="yellow"/>
        </w:rPr>
        <w:t>P</w:t>
      </w:r>
      <w:r w:rsidR="00E5492A" w:rsidRPr="00E5492A">
        <w:rPr>
          <w:highlight w:val="yellow"/>
        </w:rPr>
        <w:t>resupuesto general de la Unión</w:t>
      </w:r>
      <w:r w:rsidR="00E5492A" w:rsidRPr="00E5492A">
        <w:rPr>
          <w:sz w:val="22"/>
          <w:szCs w:val="22"/>
          <w:highlight w:val="yellow"/>
        </w:rPr>
        <w:t xml:space="preserve"> </w:t>
      </w:r>
      <w:r w:rsidR="00D93082" w:rsidRPr="00AB2EF7">
        <w:rPr>
          <w:sz w:val="22"/>
          <w:szCs w:val="22"/>
          <w:highlight w:val="yellow"/>
        </w:rPr>
        <w:t>para las convocatorias</w:t>
      </w:r>
      <w:r w:rsidR="00D93082" w:rsidRPr="00AB2EF7">
        <w:rPr>
          <w:sz w:val="22"/>
          <w:highlight w:val="yellow"/>
        </w:rPr>
        <w:t xml:space="preserve"> en que no se aplique el REC (p. ej. IPA I)</w:t>
      </w:r>
      <w:r w:rsidR="00D93082" w:rsidRPr="00AB2EF7">
        <w:rPr>
          <w:sz w:val="22"/>
        </w:rPr>
        <w:t>:</w:t>
      </w:r>
      <w:r w:rsidR="00C555FD" w:rsidRPr="00AB2EF7">
        <w:rPr>
          <w:sz w:val="22"/>
        </w:rPr>
        <w:t xml:space="preserve"> </w:t>
      </w:r>
      <w:r w:rsidR="00D93082" w:rsidRPr="00AB2EF7">
        <w:rPr>
          <w:sz w:val="22"/>
          <w:highlight w:val="lightGray"/>
        </w:rPr>
        <w:t xml:space="preserve">La participación está abierta a todas las personas jurídicas [ya participen individualmente o constituyendo una agrupación (consorcio) de licitadores] establecidas en uno de los Estados miembros de la Unión Europea o en uno de los países o territorios de las regiones cubiertas o autorizadas por los instrumentos específicos aplicables al programa al amparo del cual se financia el </w:t>
      </w:r>
      <w:r w:rsidR="00A246D6" w:rsidRPr="00AB2EF7">
        <w:rPr>
          <w:sz w:val="22"/>
          <w:highlight w:val="lightGray"/>
        </w:rPr>
        <w:t>contrato</w:t>
      </w:r>
      <w:r w:rsidR="00D93082" w:rsidRPr="00AB2EF7">
        <w:rPr>
          <w:sz w:val="22"/>
          <w:highlight w:val="lightGray"/>
        </w:rPr>
        <w:t xml:space="preserve"> (véase el punto 2</w:t>
      </w:r>
      <w:r w:rsidR="00424EF8">
        <w:rPr>
          <w:sz w:val="22"/>
          <w:highlight w:val="lightGray"/>
        </w:rPr>
        <w:t>3</w:t>
      </w:r>
      <w:r w:rsidR="00D93082" w:rsidRPr="00AB2EF7">
        <w:rPr>
          <w:sz w:val="22"/>
          <w:highlight w:val="lightGray"/>
        </w:rPr>
        <w:t xml:space="preserve"> más adelante). La participación está abierta también a las organizaciones internacionales. La participación de las personas físicas se rige directamente por los instrumentos específicos del programa en virtud del cual se financia el </w:t>
      </w:r>
      <w:r w:rsidR="00A246D6" w:rsidRPr="00AB2EF7">
        <w:rPr>
          <w:sz w:val="22"/>
          <w:highlight w:val="lightGray"/>
        </w:rPr>
        <w:t>contrato</w:t>
      </w:r>
      <w:r w:rsidR="00D93082" w:rsidRPr="00AB2EF7">
        <w:rPr>
          <w:sz w:val="22"/>
          <w:highlight w:val="lightGray"/>
        </w:rPr>
        <w:t>.</w:t>
      </w:r>
      <w:r w:rsidR="00B42A35" w:rsidRPr="00AB2EF7">
        <w:rPr>
          <w:sz w:val="22"/>
        </w:rPr>
        <w:t>]</w:t>
      </w:r>
    </w:p>
    <w:p w:rsidR="00D93082" w:rsidRPr="00AB2EF7" w:rsidRDefault="00B42A35" w:rsidP="00D93082">
      <w:pPr>
        <w:ind w:left="284"/>
        <w:jc w:val="both"/>
        <w:outlineLvl w:val="0"/>
        <w:rPr>
          <w:sz w:val="22"/>
          <w:szCs w:val="22"/>
        </w:rPr>
      </w:pP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r w:rsidRPr="00AB2EF7">
        <w:rPr>
          <w:sz w:val="22"/>
          <w:szCs w:val="22"/>
        </w:rPr>
        <w:lastRenderedPageBreak/>
        <w:t>[</w:t>
      </w:r>
      <w:r w:rsidRPr="00AB2EF7">
        <w:rPr>
          <w:sz w:val="22"/>
          <w:szCs w:val="22"/>
          <w:highlight w:val="yellow"/>
        </w:rPr>
        <w:t>10</w:t>
      </w:r>
      <w:r w:rsidR="00B66CEC">
        <w:rPr>
          <w:sz w:val="22"/>
          <w:szCs w:val="22"/>
          <w:highlight w:val="yellow"/>
        </w:rPr>
        <w:t>.</w:t>
      </w:r>
      <w:r w:rsidRPr="00AB2EF7">
        <w:rPr>
          <w:sz w:val="22"/>
          <w:szCs w:val="22"/>
          <w:highlight w:val="yellow"/>
        </w:rPr>
        <w:t>º EDF/11</w:t>
      </w:r>
      <w:r w:rsidR="00B66CEC">
        <w:rPr>
          <w:sz w:val="22"/>
          <w:szCs w:val="22"/>
          <w:highlight w:val="yellow"/>
        </w:rPr>
        <w:t>.</w:t>
      </w:r>
      <w:r w:rsidRPr="00AB2EF7">
        <w:rPr>
          <w:sz w:val="22"/>
          <w:szCs w:val="22"/>
          <w:highlight w:val="yellow"/>
        </w:rPr>
        <w:t>º EDF</w:t>
      </w:r>
    </w:p>
    <w:p w:rsidR="00D93082" w:rsidRDefault="00D93082" w:rsidP="00D93082">
      <w:pPr>
        <w:ind w:left="284"/>
        <w:jc w:val="both"/>
        <w:outlineLvl w:val="0"/>
        <w:rPr>
          <w:sz w:val="22"/>
        </w:rPr>
      </w:pPr>
      <w:r w:rsidRPr="00B66CEC">
        <w:rPr>
          <w:sz w:val="22"/>
          <w:highlight w:val="lightGray"/>
        </w:rPr>
        <w:t xml:space="preserve">La participación en la licitación está abierta en condiciones de igualdad a todas las personas físicas y jurídicas [ya participen individualmente o constituyendo una agrupación (consorcio) de licitadores] establecidas en uno de los Estados miembros de la Unión Europea, </w:t>
      </w:r>
      <w:r w:rsidR="00EA0FEF" w:rsidRPr="00B66CEC">
        <w:rPr>
          <w:sz w:val="22"/>
          <w:highlight w:val="lightGray"/>
        </w:rPr>
        <w:t>en</w:t>
      </w:r>
      <w:r w:rsidRPr="00B66CEC">
        <w:rPr>
          <w:sz w:val="22"/>
          <w:highlight w:val="lightGray"/>
        </w:rPr>
        <w:t xml:space="preserve"> los Estados ACP o en un país o territorio autorizado por el Acuerdo de Asociación ACP-CE al amparo del cual se financia el </w:t>
      </w:r>
      <w:r w:rsidR="00A246D6" w:rsidRPr="00B66CEC">
        <w:rPr>
          <w:sz w:val="22"/>
          <w:highlight w:val="lightGray"/>
        </w:rPr>
        <w:t>contrato</w:t>
      </w:r>
      <w:r w:rsidRPr="00B66CEC">
        <w:rPr>
          <w:sz w:val="22"/>
          <w:highlight w:val="lightGray"/>
        </w:rPr>
        <w:t xml:space="preserve"> (véase también el punto 2</w:t>
      </w:r>
      <w:r w:rsidR="00EA0FEF" w:rsidRPr="00B66CEC">
        <w:rPr>
          <w:sz w:val="22"/>
          <w:highlight w:val="lightGray"/>
        </w:rPr>
        <w:t>3</w:t>
      </w:r>
      <w:r w:rsidRPr="00B66CEC">
        <w:rPr>
          <w:sz w:val="22"/>
          <w:highlight w:val="lightGray"/>
        </w:rPr>
        <w:t xml:space="preserve"> más adelante). La participación está abierta también a las</w:t>
      </w:r>
      <w:r w:rsidR="00B42A35" w:rsidRPr="00B66CEC">
        <w:rPr>
          <w:sz w:val="22"/>
          <w:highlight w:val="lightGray"/>
        </w:rPr>
        <w:t xml:space="preserve"> organizaciones internacionales</w:t>
      </w:r>
      <w:r w:rsidRPr="00AB2EF7">
        <w:rPr>
          <w:sz w:val="22"/>
        </w:rPr>
        <w:t>.</w:t>
      </w:r>
      <w:r w:rsidR="00B42A35" w:rsidRPr="00AB2EF7">
        <w:rPr>
          <w:sz w:val="22"/>
        </w:rPr>
        <w:t>]</w:t>
      </w:r>
      <w:r w:rsidRPr="00AB2EF7">
        <w:rPr>
          <w:sz w:val="22"/>
        </w:rPr>
        <w:t xml:space="preserve"> </w:t>
      </w:r>
    </w:p>
    <w:p w:rsidR="00457E45" w:rsidRDefault="00457E45" w:rsidP="00256DBF">
      <w:pPr>
        <w:spacing w:before="0" w:after="0"/>
        <w:ind w:left="284"/>
        <w:jc w:val="both"/>
        <w:rPr>
          <w:snapToGrid/>
          <w:sz w:val="22"/>
          <w:szCs w:val="22"/>
        </w:rPr>
      </w:pPr>
      <w:r w:rsidDel="00457E45">
        <w:rPr>
          <w:sz w:val="22"/>
          <w:szCs w:val="22"/>
          <w:highlight w:val="yellow"/>
        </w:rPr>
        <w:t xml:space="preserve"> </w:t>
      </w:r>
      <w:r>
        <w:rPr>
          <w:sz w:val="22"/>
          <w:szCs w:val="22"/>
          <w:highlight w:val="yellow"/>
          <w:lang w:val="es-ES_tradnl"/>
        </w:rPr>
        <w:t>[</w:t>
      </w:r>
      <w:r>
        <w:rPr>
          <w:sz w:val="22"/>
          <w:szCs w:val="22"/>
          <w:highlight w:val="yellow"/>
        </w:rPr>
        <w:t>Para los compromisos financiados por un acto de base en el marco financiero plurianual 2014-2020 o anteriores, 11º o anterior FED:</w:t>
      </w:r>
    </w:p>
    <w:p w:rsidR="00457E45" w:rsidRDefault="00457E45" w:rsidP="00457E45">
      <w:pPr>
        <w:spacing w:before="0" w:after="0"/>
        <w:ind w:left="426"/>
        <w:jc w:val="both"/>
        <w:rPr>
          <w:sz w:val="22"/>
          <w:szCs w:val="22"/>
          <w:highlight w:val="lightGray"/>
          <w:lang w:val="es-ES_tradnl"/>
        </w:rPr>
      </w:pPr>
      <w:r>
        <w:rPr>
          <w:sz w:val="22"/>
          <w:szCs w:val="22"/>
          <w:highlight w:val="lightGray"/>
          <w:lang w:val="es-ES_tradnl"/>
        </w:rPr>
        <w:t>Para el Reino Unido candidatos o licitadores: tenga en cuenta que, tras la entrada en vigor del Acuerdo de Retirada UE-Reino Unido * el 1 de febrero de 2020 y, en particular, los artículos 127 (6), 137 y 138 , las referencias a personas físicas o jurídicas que residan o estén establecidas en un Estado miembro de la Unión Europea y a productos originarios de un país elegible, según se define en el Reglamento (UE) n. ° 236/2014 ** y el Anexo IV del Acuerdo de Asociación ACP-UE ***, se entenderá que incluye a las personas físicas o jurídicas que residen o están establecidas en el Reino Unido y a los bienes que proceden del Reino Unido ****. Esas personas y bienes son, por lo tanto, elegibles bajo esta convocatoria.</w:t>
      </w:r>
    </w:p>
    <w:p w:rsidR="00457E45" w:rsidRDefault="00457E45" w:rsidP="00457E45">
      <w:pPr>
        <w:spacing w:before="0" w:after="0"/>
        <w:ind w:left="426"/>
        <w:jc w:val="both"/>
        <w:rPr>
          <w:sz w:val="22"/>
          <w:szCs w:val="22"/>
          <w:highlight w:val="lightGray"/>
          <w:lang w:val="es-ES_tradnl"/>
        </w:rPr>
      </w:pPr>
      <w:r>
        <w:rPr>
          <w:sz w:val="22"/>
          <w:szCs w:val="22"/>
          <w:highlight w:val="lightGray"/>
          <w:lang w:val="es-ES_tradnl"/>
        </w:rPr>
        <w:t>* Acuerdo sobre la retirada del Reino Unido de Gran Bretaña e Irlanda del Norte de la Unión Europea y la Comunidad Europea de la Energía Atómica.</w:t>
      </w:r>
    </w:p>
    <w:p w:rsidR="00457E45" w:rsidRDefault="00457E45" w:rsidP="00457E45">
      <w:pPr>
        <w:spacing w:before="0" w:after="0"/>
        <w:ind w:left="426"/>
        <w:jc w:val="both"/>
        <w:rPr>
          <w:sz w:val="22"/>
          <w:szCs w:val="22"/>
          <w:highlight w:val="lightGray"/>
          <w:lang w:val="es-ES_tradnl"/>
        </w:rPr>
      </w:pPr>
      <w:r>
        <w:rPr>
          <w:sz w:val="22"/>
          <w:szCs w:val="22"/>
          <w:highlight w:val="lightGray"/>
          <w:lang w:val="es-ES_tradnl"/>
        </w:rPr>
        <w:t>** Reglamento (UE) no 236/2014 del Parlamento Europeo y del Consejo, de 11 de marzo de 2014, por el que se establecen normas y procedimientos comunes para la aplicación de los instrumentos de la Unión para la financiación de la acción exterior.</w:t>
      </w:r>
    </w:p>
    <w:p w:rsidR="00457E45" w:rsidRDefault="00457E45" w:rsidP="00457E45">
      <w:pPr>
        <w:spacing w:before="0" w:after="0"/>
        <w:ind w:left="426"/>
        <w:jc w:val="both"/>
        <w:rPr>
          <w:sz w:val="22"/>
          <w:szCs w:val="22"/>
          <w:highlight w:val="lightGray"/>
          <w:lang w:val="es-ES_tradnl"/>
        </w:rPr>
      </w:pPr>
      <w:r>
        <w:rPr>
          <w:sz w:val="22"/>
          <w:szCs w:val="22"/>
          <w:highlight w:val="lightGray"/>
          <w:lang w:val="es-ES_tradnl"/>
        </w:rPr>
        <w:t>*** Anexo IV del Acuerdo de Asociación ACP-UE, revisado por la Decisión 1/2014 del Consejo de Ministros ACP-UE (DO L196 / 40, 3.7.2014)</w:t>
      </w:r>
    </w:p>
    <w:p w:rsidR="00457E45" w:rsidRDefault="00457E45" w:rsidP="00457E45">
      <w:pPr>
        <w:spacing w:before="0" w:after="0"/>
        <w:ind w:left="426"/>
        <w:jc w:val="both"/>
        <w:rPr>
          <w:sz w:val="22"/>
          <w:szCs w:val="22"/>
          <w:highlight w:val="lightGray"/>
          <w:lang w:val="es-ES_tradnl"/>
        </w:rPr>
      </w:pPr>
      <w:r>
        <w:rPr>
          <w:sz w:val="22"/>
          <w:szCs w:val="22"/>
          <w:highlight w:val="lightGray"/>
          <w:lang w:val="es-ES_tradnl"/>
        </w:rPr>
        <w:t>**** incluidos los países y territorios de ultramar que tienen relaciones especiales con el Reino Unido, tal como se establece en la cuarta parte y el anexo II del TFUE.]</w:t>
      </w:r>
    </w:p>
    <w:p w:rsidR="00457E45" w:rsidRPr="00457E45" w:rsidRDefault="00457E45" w:rsidP="00D93082">
      <w:pPr>
        <w:ind w:left="284"/>
        <w:jc w:val="both"/>
        <w:outlineLvl w:val="0"/>
        <w:rPr>
          <w:sz w:val="22"/>
          <w:szCs w:val="22"/>
          <w:lang w:val="es-ES_tradnl"/>
        </w:rPr>
      </w:pPr>
    </w:p>
    <w:p w:rsidR="00D93082" w:rsidRPr="00B66CEC" w:rsidRDefault="00D93082" w:rsidP="00D93082">
      <w:pPr>
        <w:ind w:left="284"/>
        <w:jc w:val="both"/>
        <w:outlineLvl w:val="0"/>
        <w:rPr>
          <w:b/>
          <w:sz w:val="22"/>
          <w:szCs w:val="22"/>
        </w:rPr>
      </w:pPr>
      <w:r w:rsidRPr="00B66CEC">
        <w:rPr>
          <w:b/>
          <w:sz w:val="22"/>
          <w:szCs w:val="22"/>
          <w:highlight w:val="yellow"/>
        </w:rPr>
        <w:t>[Otros, que puede tener criterios de elegibilidad diferentes</w:t>
      </w:r>
      <w:r w:rsidRPr="00B66CEC">
        <w:rPr>
          <w:b/>
          <w:sz w:val="22"/>
          <w:szCs w:val="22"/>
        </w:rPr>
        <w:t>)</w:t>
      </w:r>
      <w:r w:rsidR="00B42A35" w:rsidRPr="00B66CEC">
        <w:rPr>
          <w:b/>
          <w:sz w:val="22"/>
          <w:szCs w:val="22"/>
        </w:rPr>
        <w:t>: &lt;</w:t>
      </w:r>
      <w:r w:rsidR="00B42A35" w:rsidRPr="00B66CEC">
        <w:rPr>
          <w:b/>
          <w:sz w:val="22"/>
          <w:szCs w:val="22"/>
          <w:highlight w:val="yellow"/>
        </w:rPr>
        <w:t>…………………</w:t>
      </w:r>
      <w:r w:rsidR="00B42A35" w:rsidRPr="00B66CEC">
        <w:rPr>
          <w:b/>
          <w:sz w:val="22"/>
          <w:szCs w:val="22"/>
        </w:rPr>
        <w:t>&gt;]</w:t>
      </w:r>
    </w:p>
    <w:p w:rsidR="006F5FD0" w:rsidRPr="00AB2EF7" w:rsidRDefault="006F5FD0" w:rsidP="00584BF4">
      <w:pPr>
        <w:ind w:left="709" w:hanging="349"/>
        <w:outlineLvl w:val="0"/>
        <w:rPr>
          <w:sz w:val="22"/>
          <w:szCs w:val="22"/>
        </w:rPr>
      </w:pPr>
      <w:r w:rsidRPr="00AB2EF7">
        <w:rPr>
          <w:rStyle w:val="Strong"/>
          <w:sz w:val="22"/>
        </w:rPr>
        <w:t xml:space="preserve">11. </w:t>
      </w:r>
      <w:r w:rsidRPr="00AB2EF7">
        <w:tab/>
      </w:r>
      <w:r w:rsidRPr="00AB2EF7">
        <w:rPr>
          <w:rStyle w:val="Strong"/>
          <w:sz w:val="22"/>
        </w:rPr>
        <w:t>Número de ofertas</w:t>
      </w:r>
    </w:p>
    <w:p w:rsidR="006F5FD0" w:rsidRPr="00AB2EF7" w:rsidRDefault="006F5FD0">
      <w:pPr>
        <w:pStyle w:val="Blockquote"/>
        <w:jc w:val="both"/>
        <w:rPr>
          <w:sz w:val="22"/>
          <w:szCs w:val="22"/>
        </w:rPr>
      </w:pPr>
      <w:r w:rsidRPr="00AB2EF7">
        <w:rPr>
          <w:sz w:val="22"/>
        </w:rPr>
        <w:t>Una persona física o jurídica no podrá presentar más de una oferta, sea cual fuere su forma de participación (como entidad jurídica individual o como licitador principal o miembro de un consorcio licitador).</w:t>
      </w:r>
      <w:r w:rsidR="00C555FD" w:rsidRPr="00AB2EF7">
        <w:rPr>
          <w:sz w:val="22"/>
        </w:rPr>
        <w:t xml:space="preserve"> </w:t>
      </w:r>
      <w:r w:rsidRPr="00AB2EF7">
        <w:rPr>
          <w:sz w:val="22"/>
        </w:rPr>
        <w:t>En caso de que una persona física o jurídica presente más de una oferta, se excluirán todas las ofertas en que haya participado esa persona.</w:t>
      </w:r>
    </w:p>
    <w:p w:rsidR="004E1482" w:rsidRPr="00AB2EF7" w:rsidRDefault="00B42A35" w:rsidP="007727F3">
      <w:pPr>
        <w:pStyle w:val="Blockquote"/>
        <w:jc w:val="both"/>
        <w:rPr>
          <w:sz w:val="22"/>
          <w:szCs w:val="22"/>
        </w:rPr>
      </w:pPr>
      <w:r w:rsidRPr="00AB2EF7">
        <w:rPr>
          <w:sz w:val="22"/>
          <w:szCs w:val="22"/>
        </w:rPr>
        <w:t>[</w:t>
      </w:r>
      <w:r w:rsidRPr="00AB2EF7">
        <w:rPr>
          <w:sz w:val="22"/>
          <w:szCs w:val="22"/>
          <w:highlight w:val="yellow"/>
        </w:rPr>
        <w:t>Si hay más de un lote:</w:t>
      </w:r>
      <w:r w:rsidRPr="00AB2EF7">
        <w:rPr>
          <w:sz w:val="22"/>
          <w:szCs w:val="22"/>
        </w:rPr>
        <w:t xml:space="preserve"> </w:t>
      </w:r>
      <w:r w:rsidR="00EA0FEF" w:rsidRPr="00AB2EF7">
        <w:rPr>
          <w:sz w:val="22"/>
          <w:highlight w:val="lightGray"/>
        </w:rPr>
        <w:t>N</w:t>
      </w:r>
      <w:r w:rsidR="00E1782A" w:rsidRPr="00AB2EF7">
        <w:rPr>
          <w:sz w:val="22"/>
          <w:highlight w:val="lightGray"/>
        </w:rPr>
        <w:t>o se podrá limitar el número de lotes que pueda obtener un mismo licitador.</w:t>
      </w:r>
    </w:p>
    <w:p w:rsidR="00E1782A" w:rsidRPr="00AB2EF7" w:rsidRDefault="004E1482" w:rsidP="007727F3">
      <w:pPr>
        <w:pStyle w:val="Blockquote"/>
        <w:jc w:val="both"/>
        <w:rPr>
          <w:i/>
          <w:sz w:val="22"/>
          <w:szCs w:val="22"/>
        </w:rPr>
      </w:pPr>
      <w:r w:rsidRPr="00AB2EF7">
        <w:rPr>
          <w:sz w:val="22"/>
          <w:highlight w:val="lightGray"/>
        </w:rPr>
        <w:t>Un licitador podrá presentar una oferta por un único lote, varios o todos los lotes, pero solamente una oferta por lote. Los contratos se adjudicarán lote a lote, y cada lote constituirá un contrato separado.</w:t>
      </w:r>
      <w:r w:rsidRPr="00AB2EF7">
        <w:rPr>
          <w:sz w:val="22"/>
        </w:rPr>
        <w:t xml:space="preserve">] </w:t>
      </w:r>
    </w:p>
    <w:p w:rsidR="006F5FD0" w:rsidRPr="00AB2EF7" w:rsidRDefault="006F5FD0" w:rsidP="00584BF4">
      <w:pPr>
        <w:ind w:left="709" w:hanging="349"/>
        <w:outlineLvl w:val="0"/>
        <w:rPr>
          <w:sz w:val="22"/>
          <w:szCs w:val="22"/>
        </w:rPr>
      </w:pPr>
      <w:r w:rsidRPr="00AB2EF7">
        <w:rPr>
          <w:rStyle w:val="Strong"/>
          <w:sz w:val="22"/>
        </w:rPr>
        <w:t xml:space="preserve">12. </w:t>
      </w:r>
      <w:r w:rsidRPr="00AB2EF7">
        <w:tab/>
      </w:r>
      <w:r w:rsidRPr="00AB2EF7">
        <w:rPr>
          <w:rStyle w:val="Strong"/>
          <w:sz w:val="22"/>
        </w:rPr>
        <w:t>Motivos de exclusión</w:t>
      </w:r>
    </w:p>
    <w:p w:rsidR="008D56DD" w:rsidRDefault="006F5FD0">
      <w:pPr>
        <w:pStyle w:val="Blockquote"/>
        <w:jc w:val="both"/>
        <w:rPr>
          <w:sz w:val="22"/>
        </w:rPr>
      </w:pPr>
      <w:r w:rsidRPr="00AB2EF7">
        <w:rPr>
          <w:sz w:val="22"/>
        </w:rPr>
        <w:t xml:space="preserve">Como parte de la oferta, los licitadores deberán presentar una declaración firmada, </w:t>
      </w:r>
      <w:r w:rsidR="00EA0FEF" w:rsidRPr="00AB2EF7">
        <w:rPr>
          <w:sz w:val="22"/>
        </w:rPr>
        <w:t>incluida en el</w:t>
      </w:r>
      <w:r w:rsidRPr="00AB2EF7">
        <w:rPr>
          <w:sz w:val="22"/>
        </w:rPr>
        <w:t xml:space="preserve"> formulario de </w:t>
      </w:r>
      <w:r w:rsidR="00B752C1" w:rsidRPr="00AB2EF7">
        <w:rPr>
          <w:sz w:val="22"/>
        </w:rPr>
        <w:t>presentación de la oferta</w:t>
      </w:r>
      <w:r w:rsidRPr="00AB2EF7">
        <w:rPr>
          <w:sz w:val="22"/>
        </w:rPr>
        <w:t xml:space="preserve">, que confirme que no se encuentran en ninguna de las situaciones enumeradas en </w:t>
      </w:r>
      <w:r w:rsidR="003F6918" w:rsidRPr="00AB2EF7">
        <w:rPr>
          <w:sz w:val="22"/>
        </w:rPr>
        <w:t>la sección</w:t>
      </w:r>
      <w:r w:rsidRPr="00AB2EF7">
        <w:rPr>
          <w:sz w:val="22"/>
        </w:rPr>
        <w:t xml:space="preserve"> 2.3.3 de la Guía Práctica.</w:t>
      </w:r>
    </w:p>
    <w:p w:rsidR="006F5FD0" w:rsidRPr="00AB2EF7" w:rsidRDefault="008D56DD">
      <w:pPr>
        <w:pStyle w:val="Blockquote"/>
        <w:jc w:val="both"/>
        <w:rPr>
          <w:sz w:val="22"/>
          <w:szCs w:val="22"/>
        </w:rPr>
      </w:pPr>
      <w:r>
        <w:rPr>
          <w:sz w:val="22"/>
        </w:rPr>
        <w:t>A l</w:t>
      </w:r>
      <w:r w:rsidRPr="008D56DD">
        <w:rPr>
          <w:sz w:val="22"/>
        </w:rPr>
        <w:t xml:space="preserve">os </w:t>
      </w:r>
      <w:r w:rsidR="00E0231B">
        <w:rPr>
          <w:sz w:val="22"/>
        </w:rPr>
        <w:t>licitadores</w:t>
      </w:r>
      <w:r w:rsidR="00E0231B" w:rsidRPr="008D56DD">
        <w:rPr>
          <w:sz w:val="22"/>
        </w:rPr>
        <w:t xml:space="preserve"> </w:t>
      </w:r>
      <w:r w:rsidRPr="008D56DD">
        <w:rPr>
          <w:sz w:val="22"/>
        </w:rPr>
        <w:t xml:space="preserve">que figuren en las listas de medidas restrictivas de la UE (véase la sección 2.4. de la PRAG) en el momento de la decisión de adjudicación no </w:t>
      </w:r>
      <w:r>
        <w:t xml:space="preserve">se les podrá adjudicar </w:t>
      </w:r>
      <w:r w:rsidRPr="008D56DD">
        <w:rPr>
          <w:sz w:val="22"/>
        </w:rPr>
        <w:t>el contrato</w:t>
      </w:r>
      <w:r>
        <w:rPr>
          <w:sz w:val="22"/>
        </w:rPr>
        <w:t>.</w:t>
      </w:r>
      <w:r w:rsidR="006F5FD0" w:rsidRPr="00AB2EF7">
        <w:rPr>
          <w:sz w:val="22"/>
        </w:rPr>
        <w:t xml:space="preserve"> </w:t>
      </w:r>
    </w:p>
    <w:p w:rsidR="006F5FD0" w:rsidRPr="00AB2EF7" w:rsidRDefault="006F5FD0" w:rsidP="00584BF4">
      <w:pPr>
        <w:ind w:left="709" w:hanging="349"/>
        <w:outlineLvl w:val="0"/>
        <w:rPr>
          <w:sz w:val="22"/>
          <w:szCs w:val="22"/>
        </w:rPr>
      </w:pPr>
      <w:r w:rsidRPr="00AB2EF7">
        <w:rPr>
          <w:rStyle w:val="Strong"/>
          <w:sz w:val="22"/>
        </w:rPr>
        <w:t xml:space="preserve">13. </w:t>
      </w:r>
      <w:r w:rsidRPr="00AB2EF7">
        <w:tab/>
      </w:r>
      <w:r w:rsidRPr="00AB2EF7">
        <w:rPr>
          <w:rStyle w:val="Strong"/>
          <w:sz w:val="22"/>
        </w:rPr>
        <w:t>Subcontratación</w:t>
      </w:r>
    </w:p>
    <w:p w:rsidR="00E9047D" w:rsidRPr="00AB2EF7" w:rsidRDefault="006D6080" w:rsidP="00584BF4">
      <w:pPr>
        <w:ind w:left="709" w:hanging="349"/>
        <w:outlineLvl w:val="0"/>
        <w:rPr>
          <w:rStyle w:val="Emphasis"/>
          <w:i w:val="0"/>
          <w:sz w:val="22"/>
          <w:szCs w:val="22"/>
        </w:rPr>
      </w:pPr>
      <w:r w:rsidRPr="00AB2EF7">
        <w:rPr>
          <w:rStyle w:val="Emphasis"/>
          <w:i w:val="0"/>
          <w:sz w:val="22"/>
        </w:rPr>
        <w:t>Se autoriza la subcontratación.</w:t>
      </w:r>
    </w:p>
    <w:p w:rsidR="006F5FD0" w:rsidRPr="007508E6" w:rsidRDefault="00983763" w:rsidP="007508E6">
      <w:pPr>
        <w:keepNext/>
        <w:spacing w:before="240"/>
        <w:jc w:val="center"/>
        <w:rPr>
          <w:sz w:val="28"/>
          <w:szCs w:val="28"/>
        </w:rPr>
      </w:pPr>
      <w:r w:rsidRPr="007508E6">
        <w:rPr>
          <w:noProof/>
          <w:snapToGrid/>
          <w:sz w:val="22"/>
          <w:szCs w:val="22"/>
          <w:lang w:val="fr-BE" w:eastAsia="fr-BE" w:bidi="ar-SA"/>
        </w:rPr>
        <w:lastRenderedPageBreak/>
        <mc:AlternateContent>
          <mc:Choice Requires="wps">
            <w:drawing>
              <wp:anchor distT="0" distB="0" distL="114300" distR="114300" simplePos="0" relativeHeight="251657728" behindDoc="0" locked="0" layoutInCell="0" allowOverlap="1" wp14:anchorId="6F2B5C2F" wp14:editId="6D7C6E5C">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DB7D3"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nb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" o:allowincell="f" strokecolor="#d4d4d4" strokeweight="1.75pt">
                <v:shadow on="t" origin=".5,-.5" offset="0,-1pt"/>
              </v:line>
            </w:pict>
          </mc:Fallback>
        </mc:AlternateContent>
      </w:r>
      <w:r w:rsidR="00571687" w:rsidRPr="007508E6">
        <w:rPr>
          <w:rStyle w:val="Strong"/>
          <w:sz w:val="28"/>
        </w:rPr>
        <w:t>CALENDARIO PROVISIONAL</w:t>
      </w:r>
    </w:p>
    <w:p w:rsidR="006F5FD0" w:rsidRPr="00AB2EF7" w:rsidRDefault="006F5FD0" w:rsidP="00571687">
      <w:pPr>
        <w:ind w:left="709" w:hanging="349"/>
        <w:outlineLvl w:val="0"/>
        <w:rPr>
          <w:sz w:val="22"/>
          <w:szCs w:val="22"/>
        </w:rPr>
      </w:pPr>
      <w:r w:rsidRPr="00AB2EF7">
        <w:rPr>
          <w:rStyle w:val="Strong"/>
          <w:sz w:val="22"/>
        </w:rPr>
        <w:t xml:space="preserve">14. </w:t>
      </w:r>
      <w:r w:rsidRPr="00AB2EF7">
        <w:tab/>
      </w:r>
      <w:r w:rsidRPr="00AB2EF7">
        <w:rPr>
          <w:rStyle w:val="Strong"/>
          <w:sz w:val="22"/>
        </w:rPr>
        <w:t>Fecha provisional de inicio del contrato</w:t>
      </w:r>
    </w:p>
    <w:p w:rsidR="006F5FD0" w:rsidRPr="00AB2EF7" w:rsidRDefault="00B42A35" w:rsidP="00571687">
      <w:pPr>
        <w:pStyle w:val="Blockquote"/>
        <w:jc w:val="both"/>
        <w:rPr>
          <w:i/>
          <w:sz w:val="22"/>
          <w:szCs w:val="22"/>
        </w:rPr>
      </w:pPr>
      <w:r w:rsidRPr="00AB2EF7">
        <w:rPr>
          <w:rStyle w:val="Emphasis"/>
          <w:i w:val="0"/>
          <w:sz w:val="22"/>
        </w:rPr>
        <w:t>&lt;</w:t>
      </w:r>
      <w:r w:rsidRPr="00AB2EF7">
        <w:rPr>
          <w:rStyle w:val="Emphasis"/>
          <w:i w:val="0"/>
          <w:sz w:val="22"/>
          <w:highlight w:val="yellow"/>
        </w:rPr>
        <w:t>F</w:t>
      </w:r>
      <w:r w:rsidR="006F5FD0" w:rsidRPr="00AB2EF7">
        <w:rPr>
          <w:rStyle w:val="Emphasis"/>
          <w:i w:val="0"/>
          <w:sz w:val="22"/>
          <w:highlight w:val="yellow"/>
        </w:rPr>
        <w:t>echa</w:t>
      </w:r>
      <w:r w:rsidR="006F5FD0" w:rsidRPr="00AB2EF7">
        <w:rPr>
          <w:rStyle w:val="Emphasis"/>
          <w:i w:val="0"/>
          <w:sz w:val="22"/>
        </w:rPr>
        <w:t>&gt;</w:t>
      </w:r>
    </w:p>
    <w:p w:rsidR="006F5FD0" w:rsidRPr="00AB2EF7" w:rsidRDefault="005639EC" w:rsidP="00571687">
      <w:pPr>
        <w:ind w:left="709" w:hanging="349"/>
        <w:outlineLvl w:val="0"/>
        <w:rPr>
          <w:sz w:val="22"/>
          <w:szCs w:val="22"/>
        </w:rPr>
      </w:pPr>
      <w:r w:rsidRPr="00AB2EF7">
        <w:rPr>
          <w:rStyle w:val="Strong"/>
          <w:sz w:val="22"/>
        </w:rPr>
        <w:t xml:space="preserve">15. </w:t>
      </w:r>
      <w:r w:rsidRPr="00AB2EF7">
        <w:tab/>
      </w:r>
      <w:r w:rsidRPr="00AB2EF7">
        <w:rPr>
          <w:rStyle w:val="Strong"/>
          <w:sz w:val="22"/>
        </w:rPr>
        <w:t>P</w:t>
      </w:r>
      <w:r w:rsidR="00EA0FEF" w:rsidRPr="00AB2EF7">
        <w:rPr>
          <w:rStyle w:val="Strong"/>
          <w:sz w:val="22"/>
        </w:rPr>
        <w:t>eriodo</w:t>
      </w:r>
      <w:r w:rsidRPr="00AB2EF7">
        <w:rPr>
          <w:rStyle w:val="Strong"/>
          <w:sz w:val="22"/>
        </w:rPr>
        <w:t xml:space="preserve"> de ejecución de las tareas </w:t>
      </w:r>
    </w:p>
    <w:p w:rsidR="006F5FD0" w:rsidRPr="00AB2EF7" w:rsidRDefault="00B42A35" w:rsidP="00571687">
      <w:pPr>
        <w:pStyle w:val="Blockquote"/>
        <w:jc w:val="both"/>
        <w:rPr>
          <w:i/>
          <w:sz w:val="22"/>
          <w:szCs w:val="22"/>
        </w:rPr>
      </w:pPr>
      <w:r w:rsidRPr="00AB2EF7">
        <w:rPr>
          <w:rStyle w:val="Emphasis"/>
          <w:i w:val="0"/>
          <w:sz w:val="22"/>
        </w:rPr>
        <w:t>&lt;</w:t>
      </w:r>
      <w:r w:rsidRPr="00AB2EF7">
        <w:rPr>
          <w:rStyle w:val="Emphasis"/>
          <w:i w:val="0"/>
          <w:sz w:val="22"/>
          <w:highlight w:val="yellow"/>
        </w:rPr>
        <w:t>Especifique</w:t>
      </w:r>
      <w:r w:rsidR="006F5FD0" w:rsidRPr="00AB2EF7">
        <w:rPr>
          <w:rStyle w:val="Emphasis"/>
          <w:i w:val="0"/>
          <w:sz w:val="22"/>
        </w:rPr>
        <w:t>&gt;</w:t>
      </w:r>
    </w:p>
    <w:p w:rsidR="006F5FD0" w:rsidRPr="00AB2EF7" w:rsidRDefault="00983763">
      <w:pPr>
        <w:rPr>
          <w:sz w:val="22"/>
          <w:szCs w:val="22"/>
        </w:rPr>
      </w:pPr>
      <w:r>
        <w:rPr>
          <w:noProof/>
          <w:snapToGrid/>
          <w:sz w:val="22"/>
          <w:szCs w:val="22"/>
          <w:lang w:val="fr-BE" w:eastAsia="fr-BE" w:bidi="ar-SA"/>
        </w:rPr>
        <mc:AlternateContent>
          <mc:Choice Requires="wps">
            <w:drawing>
              <wp:anchor distT="0" distB="0" distL="114300" distR="114300" simplePos="0" relativeHeight="251658752"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AA4D1F"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iG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1GVvvvwrdR5aDPO4KzNLwDQX1Bj8nf&#10;BAZNBwpB3diYPx/Sh9VsNctH+bhYjfK0rkef1st8VKyz+2k9qZfLOvsVQmZ52QrGuAoaXYYky/+u&#10;CYdxPbf3dUyu1Uhu0c/MjyAWCHghHZsq9NG5I7eanTb20mwwF9F4mOEweG/PsH/7p1n8Bg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B5x+IZ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6F5FD0" w:rsidRPr="00AB2EF7" w:rsidRDefault="006F5FD0">
      <w:pPr>
        <w:jc w:val="center"/>
        <w:rPr>
          <w:sz w:val="28"/>
          <w:szCs w:val="28"/>
        </w:rPr>
      </w:pPr>
      <w:r w:rsidRPr="00AB2EF7">
        <w:rPr>
          <w:rStyle w:val="Strong"/>
          <w:sz w:val="28"/>
        </w:rPr>
        <w:t>CRITERIOS DE SELECCIÓN Y ADJUDICACIÓN</w:t>
      </w:r>
    </w:p>
    <w:p w:rsidR="006F5FD0" w:rsidRPr="00AB2EF7" w:rsidRDefault="005639EC" w:rsidP="00584BF4">
      <w:pPr>
        <w:ind w:left="709" w:hanging="349"/>
        <w:outlineLvl w:val="0"/>
        <w:rPr>
          <w:sz w:val="22"/>
          <w:szCs w:val="22"/>
        </w:rPr>
      </w:pPr>
      <w:r w:rsidRPr="00AB2EF7">
        <w:rPr>
          <w:rStyle w:val="Strong"/>
          <w:sz w:val="22"/>
        </w:rPr>
        <w:t xml:space="preserve">16. </w:t>
      </w:r>
      <w:r w:rsidRPr="00AB2EF7">
        <w:tab/>
      </w:r>
      <w:r w:rsidRPr="00AB2EF7">
        <w:rPr>
          <w:rStyle w:val="Strong"/>
          <w:sz w:val="22"/>
        </w:rPr>
        <w:t>Criterios de selección</w:t>
      </w:r>
    </w:p>
    <w:p w:rsidR="00A46ED3" w:rsidRPr="00B66CEC" w:rsidRDefault="00230961" w:rsidP="004F34C4">
      <w:pPr>
        <w:pStyle w:val="Blockquote"/>
        <w:shd w:val="clear" w:color="auto" w:fill="FFFF00"/>
        <w:jc w:val="both"/>
        <w:rPr>
          <w:sz w:val="22"/>
          <w:szCs w:val="22"/>
          <w:highlight w:val="yellow"/>
        </w:rPr>
      </w:pPr>
      <w:r w:rsidRPr="00B66CEC">
        <w:rPr>
          <w:sz w:val="22"/>
          <w:highlight w:val="yellow"/>
        </w:rPr>
        <w:t xml:space="preserve">Los criterios de selección deberán ser claros y no discriminatorios, y no podrán ir más allá del ámbito del contrato. El período de referencia </w:t>
      </w:r>
      <w:r w:rsidR="00B66CEC" w:rsidRPr="00B66CEC">
        <w:rPr>
          <w:sz w:val="22"/>
          <w:highlight w:val="yellow"/>
        </w:rPr>
        <w:t>para</w:t>
      </w:r>
      <w:r w:rsidRPr="00B66CEC">
        <w:rPr>
          <w:sz w:val="22"/>
          <w:highlight w:val="yellow"/>
        </w:rPr>
        <w:t xml:space="preserve"> la capacidad financiera no podrá </w:t>
      </w:r>
      <w:r w:rsidR="00B66CEC" w:rsidRPr="00B66CEC">
        <w:rPr>
          <w:sz w:val="22"/>
          <w:highlight w:val="yellow"/>
        </w:rPr>
        <w:t>exceder</w:t>
      </w:r>
      <w:r w:rsidRPr="00B66CEC">
        <w:rPr>
          <w:sz w:val="22"/>
          <w:highlight w:val="yellow"/>
        </w:rPr>
        <w:t xml:space="preserve"> de los tres últimos años respecto </w:t>
      </w:r>
      <w:r w:rsidR="00B66CEC" w:rsidRPr="00B66CEC">
        <w:rPr>
          <w:sz w:val="22"/>
          <w:highlight w:val="yellow"/>
        </w:rPr>
        <w:t>de</w:t>
      </w:r>
      <w:r w:rsidRPr="00B66CEC">
        <w:rPr>
          <w:sz w:val="22"/>
          <w:highlight w:val="yellow"/>
        </w:rPr>
        <w:t xml:space="preserve"> los que se hayan cerrado las cuentas. </w:t>
      </w:r>
      <w:r w:rsidR="00B66CEC" w:rsidRPr="00B66CEC">
        <w:rPr>
          <w:sz w:val="22"/>
        </w:rPr>
        <w:t xml:space="preserve">El periodo de referencia para las capacidades técnicas y profesionales </w:t>
      </w:r>
      <w:r w:rsidRPr="00B66CEC">
        <w:rPr>
          <w:sz w:val="22"/>
          <w:highlight w:val="yellow"/>
        </w:rPr>
        <w:t xml:space="preserve">no podrá </w:t>
      </w:r>
      <w:r w:rsidR="00B66CEC" w:rsidRPr="00B66CEC">
        <w:rPr>
          <w:sz w:val="22"/>
          <w:highlight w:val="yellow"/>
        </w:rPr>
        <w:t>exceder</w:t>
      </w:r>
      <w:r w:rsidRPr="00B66CEC">
        <w:rPr>
          <w:sz w:val="22"/>
          <w:highlight w:val="yellow"/>
        </w:rPr>
        <w:t xml:space="preserve"> de los </w:t>
      </w:r>
      <w:r w:rsidR="00B14B19">
        <w:rPr>
          <w:sz w:val="22"/>
          <w:highlight w:val="yellow"/>
        </w:rPr>
        <w:t>tres</w:t>
      </w:r>
      <w:r w:rsidRPr="00B66CEC">
        <w:rPr>
          <w:sz w:val="22"/>
          <w:highlight w:val="yellow"/>
        </w:rPr>
        <w:t xml:space="preserve"> últimos años anteriores al</w:t>
      </w:r>
      <w:r w:rsidR="00582301">
        <w:rPr>
          <w:sz w:val="22"/>
          <w:highlight w:val="yellow"/>
        </w:rPr>
        <w:t xml:space="preserve"> plazo</w:t>
      </w:r>
      <w:r w:rsidRPr="00B66CEC">
        <w:rPr>
          <w:sz w:val="22"/>
          <w:highlight w:val="yellow"/>
        </w:rPr>
        <w:t xml:space="preserve"> de presentación.</w:t>
      </w:r>
      <w:r w:rsidR="008579F0">
        <w:rPr>
          <w:sz w:val="22"/>
          <w:highlight w:val="yellow"/>
        </w:rPr>
        <w:t xml:space="preserve"> </w:t>
      </w:r>
      <w:r w:rsidR="008579F0" w:rsidRPr="008579F0">
        <w:rPr>
          <w:rFonts w:ascii="Tahoma" w:hAnsi="Tahoma" w:cs="Tahoma"/>
          <w:sz w:val="22"/>
        </w:rPr>
        <w:t>﻿</w:t>
      </w:r>
      <w:r w:rsidR="008579F0" w:rsidRPr="008579F0">
        <w:rPr>
          <w:sz w:val="22"/>
        </w:rPr>
        <w:t>No obstante, cuando sea necesario para garantizar un nivel adecuado de competencia, el órgano de contratación podrá indicar que se tendrán en cuenta las pruebas de los servicios pertinentes prestados más de 3 años antes.</w:t>
      </w:r>
      <w:r w:rsidRPr="00B66CEC">
        <w:rPr>
          <w:sz w:val="22"/>
          <w:highlight w:val="yellow"/>
        </w:rPr>
        <w:t xml:space="preserve"> Recuerde que los criterios de selección se aplican a la entidad/entidades </w:t>
      </w:r>
      <w:r w:rsidR="00B66CEC" w:rsidRPr="00B66CEC">
        <w:rPr>
          <w:sz w:val="22"/>
          <w:highlight w:val="yellow"/>
        </w:rPr>
        <w:t>que firman</w:t>
      </w:r>
      <w:r w:rsidRPr="00B66CEC">
        <w:rPr>
          <w:sz w:val="22"/>
          <w:highlight w:val="yellow"/>
        </w:rPr>
        <w:t xml:space="preserve"> el contrato y no pueden aplicarse a los expertos cuyos </w:t>
      </w:r>
      <w:r w:rsidR="00B66CEC" w:rsidRPr="00B66CEC">
        <w:rPr>
          <w:sz w:val="22"/>
          <w:highlight w:val="yellow"/>
        </w:rPr>
        <w:t>currículos</w:t>
      </w:r>
      <w:r w:rsidRPr="00B66CEC">
        <w:rPr>
          <w:sz w:val="22"/>
          <w:highlight w:val="yellow"/>
        </w:rPr>
        <w:t xml:space="preserve"> se evalúen en la evaluación técnica. </w:t>
      </w:r>
      <w:r w:rsidRPr="00B66CEC">
        <w:rPr>
          <w:sz w:val="22"/>
        </w:rPr>
        <w:t xml:space="preserve">Por lo tanto, debe prestarse especial atención a la hora de fijar criterios específicos de selección para evaluar la capacidad técnica y profesional de las personas físicas. Como norma general, los criterios de selección no pueden reutilizarse como criterios de adjudicación. </w:t>
      </w:r>
      <w:r w:rsidR="005046CD" w:rsidRPr="00B66CEC">
        <w:rPr>
          <w:sz w:val="22"/>
          <w:highlight w:val="yellow"/>
        </w:rPr>
        <w:t xml:space="preserve">Véase </w:t>
      </w:r>
      <w:r w:rsidR="003F6918" w:rsidRPr="00B66CEC">
        <w:rPr>
          <w:sz w:val="22"/>
          <w:highlight w:val="yellow"/>
        </w:rPr>
        <w:t>la sección</w:t>
      </w:r>
      <w:r w:rsidR="005046CD" w:rsidRPr="00B66CEC">
        <w:rPr>
          <w:sz w:val="22"/>
          <w:highlight w:val="yellow"/>
        </w:rPr>
        <w:t xml:space="preserve"> 2.4.11 de la Guía Práctica.</w:t>
      </w:r>
    </w:p>
    <w:p w:rsidR="005046CD" w:rsidRPr="00AB2EF7" w:rsidRDefault="004F4A09" w:rsidP="004F34C4">
      <w:pPr>
        <w:pStyle w:val="Blockquote"/>
        <w:shd w:val="clear" w:color="auto" w:fill="FFFF00"/>
        <w:jc w:val="both"/>
        <w:rPr>
          <w:bCs/>
          <w:sz w:val="22"/>
          <w:szCs w:val="22"/>
        </w:rPr>
      </w:pPr>
      <w:r w:rsidRPr="00AB2EF7">
        <w:rPr>
          <w:sz w:val="22"/>
          <w:highlight w:val="yellow"/>
        </w:rPr>
        <w:t xml:space="preserve">Si se considera apropiado para el </w:t>
      </w:r>
      <w:r w:rsidR="008579F0">
        <w:rPr>
          <w:sz w:val="22"/>
          <w:highlight w:val="yellow"/>
        </w:rPr>
        <w:t>contrato de servicios</w:t>
      </w:r>
      <w:r w:rsidR="008579F0" w:rsidRPr="00AB2EF7">
        <w:rPr>
          <w:sz w:val="22"/>
          <w:highlight w:val="yellow"/>
        </w:rPr>
        <w:t xml:space="preserve"> </w:t>
      </w:r>
      <w:r w:rsidRPr="00AB2EF7">
        <w:rPr>
          <w:sz w:val="22"/>
          <w:highlight w:val="yellow"/>
        </w:rPr>
        <w:t>y respetando el principio de igualdad de trato, podrán publicarse y aplicarse criterios distintos para las personas físicas.</w:t>
      </w:r>
    </w:p>
    <w:p w:rsidR="006F5FD0" w:rsidRPr="006E199C" w:rsidRDefault="006F5FD0">
      <w:pPr>
        <w:pStyle w:val="Blockquote"/>
        <w:jc w:val="both"/>
        <w:rPr>
          <w:sz w:val="22"/>
          <w:szCs w:val="22"/>
        </w:rPr>
      </w:pPr>
      <w:r w:rsidRPr="006E199C">
        <w:rPr>
          <w:sz w:val="22"/>
        </w:rPr>
        <w:t xml:space="preserve">Se aplicarán a los licitadores los siguientes criterios de selección. En el caso de las ofertas presentadas por un consorcio, estos criterios de selección se aplicarán al consorcio </w:t>
      </w:r>
      <w:r w:rsidR="00230961" w:rsidRPr="006E199C">
        <w:rPr>
          <w:sz w:val="22"/>
        </w:rPr>
        <w:t>en su totalidad</w:t>
      </w:r>
      <w:r w:rsidR="00230961" w:rsidRPr="006E199C">
        <w:rPr>
          <w:sz w:val="22"/>
          <w:szCs w:val="22"/>
        </w:rPr>
        <w:t>, salvo indicación en contrario. Los criterios de selección no se aplicarán ni a las personas físicas ni a las sociedades unipersonales, cuando estas ejerzan de subcontratistas.</w:t>
      </w:r>
    </w:p>
    <w:p w:rsidR="006F5FD0" w:rsidRPr="006E199C" w:rsidRDefault="00571687" w:rsidP="00571687">
      <w:pPr>
        <w:pStyle w:val="Blockquote"/>
        <w:ind w:left="641" w:right="357" w:hanging="284"/>
        <w:jc w:val="both"/>
        <w:rPr>
          <w:sz w:val="22"/>
          <w:szCs w:val="22"/>
        </w:rPr>
      </w:pPr>
      <w:r w:rsidRPr="00AB2EF7">
        <w:rPr>
          <w:b/>
          <w:sz w:val="22"/>
          <w:u w:val="single"/>
        </w:rPr>
        <w:t>1)</w:t>
      </w:r>
      <w:r w:rsidRPr="00AB2EF7">
        <w:rPr>
          <w:sz w:val="22"/>
          <w:szCs w:val="22"/>
          <w:u w:val="single"/>
        </w:rPr>
        <w:tab/>
      </w:r>
      <w:r w:rsidRPr="00AB2EF7">
        <w:rPr>
          <w:b/>
          <w:sz w:val="22"/>
          <w:szCs w:val="22"/>
          <w:u w:val="single"/>
        </w:rPr>
        <w:t>Capacidad económica y financiera del licitador</w:t>
      </w:r>
      <w:r w:rsidRPr="00AB2EF7">
        <w:rPr>
          <w:sz w:val="22"/>
          <w:szCs w:val="22"/>
        </w:rPr>
        <w:t xml:space="preserve"> (basada en el </w:t>
      </w:r>
      <w:r w:rsidR="003F6918" w:rsidRPr="00AB2EF7">
        <w:rPr>
          <w:sz w:val="22"/>
          <w:szCs w:val="22"/>
        </w:rPr>
        <w:t>punto</w:t>
      </w:r>
      <w:r w:rsidRPr="00AB2EF7">
        <w:rPr>
          <w:sz w:val="22"/>
          <w:szCs w:val="22"/>
        </w:rPr>
        <w:t xml:space="preserve"> 3 del formulario de </w:t>
      </w:r>
      <w:r w:rsidR="00EA0FEF" w:rsidRPr="00AB2EF7">
        <w:rPr>
          <w:sz w:val="22"/>
          <w:szCs w:val="22"/>
        </w:rPr>
        <w:t>presentación de la oferta</w:t>
      </w:r>
      <w:r w:rsidRPr="00AB2EF7">
        <w:rPr>
          <w:sz w:val="22"/>
          <w:szCs w:val="22"/>
        </w:rPr>
        <w:t xml:space="preserve">). </w:t>
      </w:r>
      <w:r w:rsidRPr="006E199C">
        <w:rPr>
          <w:sz w:val="22"/>
          <w:szCs w:val="22"/>
        </w:rPr>
        <w:t xml:space="preserve">En el caso de que el licitador sea un organismo público, se deberá facilitar información equivalente. </w:t>
      </w:r>
      <w:r w:rsidR="00230961" w:rsidRPr="006E199C">
        <w:rPr>
          <w:sz w:val="22"/>
          <w:szCs w:val="22"/>
        </w:rPr>
        <w:t xml:space="preserve">El período de referencia que se tendrá en cuenta será el de los tres últimos ejercicios </w:t>
      </w:r>
      <w:r w:rsidR="006E199C" w:rsidRPr="006E199C">
        <w:rPr>
          <w:sz w:val="22"/>
          <w:szCs w:val="22"/>
        </w:rPr>
        <w:t>respecto de</w:t>
      </w:r>
      <w:r w:rsidR="00230961" w:rsidRPr="006E199C">
        <w:rPr>
          <w:sz w:val="22"/>
          <w:szCs w:val="22"/>
        </w:rPr>
        <w:t xml:space="preserve"> los que se disponga de cuentas cerradas.</w:t>
      </w:r>
    </w:p>
    <w:p w:rsidR="006F5FD0" w:rsidRPr="00AB2EF7" w:rsidRDefault="006F5FD0" w:rsidP="005F776D">
      <w:pPr>
        <w:pStyle w:val="Blockquote"/>
        <w:shd w:val="clear" w:color="auto" w:fill="FFFF00"/>
        <w:ind w:left="357" w:right="357"/>
        <w:jc w:val="both"/>
        <w:rPr>
          <w:sz w:val="22"/>
          <w:szCs w:val="22"/>
        </w:rPr>
      </w:pPr>
      <w:r w:rsidRPr="00AB2EF7">
        <w:rPr>
          <w:sz w:val="22"/>
          <w:szCs w:val="22"/>
        </w:rPr>
        <w:t>El objetivo de este criterio es examinar si el licitador</w:t>
      </w:r>
      <w:r w:rsidRPr="00AB2EF7">
        <w:rPr>
          <w:sz w:val="22"/>
        </w:rPr>
        <w:t xml:space="preserve"> (es decir, el consorcio en su conjunto, en el caso de una oferta de un consorcio):</w:t>
      </w:r>
    </w:p>
    <w:p w:rsidR="006F5FD0" w:rsidRPr="00AB2EF7" w:rsidRDefault="006F5FD0" w:rsidP="005F776D">
      <w:pPr>
        <w:pStyle w:val="Blockquote"/>
        <w:numPr>
          <w:ilvl w:val="0"/>
          <w:numId w:val="34"/>
        </w:numPr>
        <w:shd w:val="clear" w:color="auto" w:fill="FFFF00"/>
        <w:tabs>
          <w:tab w:val="clear" w:pos="360"/>
          <w:tab w:val="num" w:pos="720"/>
        </w:tabs>
        <w:ind w:left="714" w:right="357" w:hanging="357"/>
        <w:jc w:val="both"/>
        <w:rPr>
          <w:sz w:val="22"/>
          <w:szCs w:val="22"/>
        </w:rPr>
      </w:pPr>
      <w:r w:rsidRPr="00AB2EF7">
        <w:rPr>
          <w:sz w:val="22"/>
        </w:rPr>
        <w:t xml:space="preserve">no será económicamente dependiente del Órgano de Contratación en caso de que le sea adjudicado el </w:t>
      </w:r>
      <w:r w:rsidR="00A246D6" w:rsidRPr="00AB2EF7">
        <w:rPr>
          <w:sz w:val="22"/>
        </w:rPr>
        <w:t>contrato</w:t>
      </w:r>
      <w:r w:rsidRPr="00AB2EF7">
        <w:rPr>
          <w:sz w:val="22"/>
        </w:rPr>
        <w:t>; y</w:t>
      </w:r>
    </w:p>
    <w:p w:rsidR="006F5FD0" w:rsidRPr="00AB2EF7" w:rsidRDefault="006F5FD0">
      <w:pPr>
        <w:pStyle w:val="Blockquote"/>
        <w:numPr>
          <w:ilvl w:val="0"/>
          <w:numId w:val="35"/>
        </w:numPr>
        <w:shd w:val="clear" w:color="auto" w:fill="FFFF00"/>
        <w:tabs>
          <w:tab w:val="clear" w:pos="360"/>
          <w:tab w:val="num" w:pos="720"/>
        </w:tabs>
        <w:ind w:left="720"/>
        <w:jc w:val="both"/>
        <w:rPr>
          <w:sz w:val="22"/>
          <w:szCs w:val="22"/>
          <w:highlight w:val="yellow"/>
        </w:rPr>
      </w:pPr>
      <w:r w:rsidRPr="00AB2EF7">
        <w:rPr>
          <w:sz w:val="22"/>
          <w:highlight w:val="yellow"/>
        </w:rPr>
        <w:t xml:space="preserve">tiene la suficiente estabilidad financiera para dar cumplimiento al </w:t>
      </w:r>
      <w:r w:rsidR="00A246D6" w:rsidRPr="00AB2EF7">
        <w:rPr>
          <w:sz w:val="22"/>
          <w:highlight w:val="yellow"/>
        </w:rPr>
        <w:t>contrato</w:t>
      </w:r>
      <w:r w:rsidRPr="00AB2EF7">
        <w:rPr>
          <w:sz w:val="22"/>
          <w:highlight w:val="yellow"/>
        </w:rPr>
        <w:t xml:space="preserve"> propuesto.</w:t>
      </w:r>
    </w:p>
    <w:p w:rsidR="007471C5" w:rsidRPr="00AB2EF7" w:rsidRDefault="00B42A35" w:rsidP="004F34C4">
      <w:pPr>
        <w:ind w:left="284"/>
        <w:rPr>
          <w:b/>
        </w:rPr>
      </w:pPr>
      <w:r w:rsidRPr="00AB2EF7">
        <w:rPr>
          <w:b/>
          <w:highlight w:val="yellow"/>
        </w:rPr>
        <w:t>[</w:t>
      </w:r>
      <w:r w:rsidR="007471C5" w:rsidRPr="00AB2EF7">
        <w:rPr>
          <w:b/>
          <w:highlight w:val="yellow"/>
        </w:rPr>
        <w:t>Si los criterios aplicables a las personas físicas y jurídicas son los mismos</w:t>
      </w:r>
    </w:p>
    <w:p w:rsidR="006F5FD0" w:rsidRPr="00AB2EF7" w:rsidRDefault="004F34C4">
      <w:pPr>
        <w:pStyle w:val="Blockquote"/>
        <w:shd w:val="clear" w:color="auto" w:fill="FFFF00"/>
        <w:jc w:val="both"/>
        <w:rPr>
          <w:b/>
          <w:sz w:val="22"/>
          <w:szCs w:val="22"/>
        </w:rPr>
      </w:pPr>
      <w:r w:rsidRPr="00AB2EF7">
        <w:rPr>
          <w:b/>
          <w:sz w:val="22"/>
        </w:rPr>
        <w:t xml:space="preserve">Ejemplos de criterios financieros para las personas </w:t>
      </w:r>
      <w:r w:rsidRPr="00AB2EF7">
        <w:rPr>
          <w:b/>
          <w:sz w:val="22"/>
          <w:u w:val="single"/>
        </w:rPr>
        <w:t>físicas y jurídicas</w:t>
      </w:r>
      <w:r w:rsidRPr="00AB2EF7">
        <w:rPr>
          <w:b/>
          <w:sz w:val="22"/>
        </w:rPr>
        <w:t>:</w:t>
      </w:r>
    </w:p>
    <w:p w:rsidR="006F5FD0" w:rsidRPr="006E199C" w:rsidRDefault="007F426F" w:rsidP="007471C5">
      <w:pPr>
        <w:pStyle w:val="Blockquote"/>
        <w:numPr>
          <w:ilvl w:val="0"/>
          <w:numId w:val="36"/>
        </w:numPr>
        <w:shd w:val="clear" w:color="auto" w:fill="FFFF00"/>
        <w:tabs>
          <w:tab w:val="num" w:pos="720"/>
        </w:tabs>
        <w:ind w:left="720"/>
        <w:jc w:val="both"/>
        <w:rPr>
          <w:sz w:val="22"/>
          <w:szCs w:val="22"/>
        </w:rPr>
      </w:pPr>
      <w:r w:rsidRPr="006E199C">
        <w:rPr>
          <w:sz w:val="22"/>
          <w:szCs w:val="22"/>
          <w:highlight w:val="yellow"/>
        </w:rPr>
        <w:t xml:space="preserve">el volumen de negocios medio anual del licitador deberá ser superior al presupuesto máximo anualizado del contrato, es decir, el presupuesto máximo estipulado en el anuncio de contrato divido por la duración inicial del contrato en años, cuando esta sea superior a </w:t>
      </w:r>
      <w:r w:rsidR="006E199C">
        <w:rPr>
          <w:sz w:val="22"/>
          <w:szCs w:val="22"/>
          <w:highlight w:val="yellow"/>
        </w:rPr>
        <w:t>un</w:t>
      </w:r>
      <w:r w:rsidRPr="006E199C">
        <w:rPr>
          <w:sz w:val="22"/>
          <w:szCs w:val="22"/>
          <w:highlight w:val="yellow"/>
        </w:rPr>
        <w:t xml:space="preserve"> año (el volumen de negocios anual mínimo solicitado no puede ser superior a dos veces el valor anual estimado del contrato, excepto en casos debidamente justificados y motivados en el expediente de licitación); y</w:t>
      </w:r>
    </w:p>
    <w:p w:rsidR="004E1482" w:rsidRPr="006E199C" w:rsidRDefault="007F426F" w:rsidP="007471C5">
      <w:pPr>
        <w:pStyle w:val="Blockquote"/>
        <w:numPr>
          <w:ilvl w:val="0"/>
          <w:numId w:val="36"/>
        </w:numPr>
        <w:shd w:val="clear" w:color="auto" w:fill="FFFF00"/>
        <w:tabs>
          <w:tab w:val="num" w:pos="720"/>
        </w:tabs>
        <w:ind w:left="720"/>
        <w:jc w:val="both"/>
        <w:rPr>
          <w:sz w:val="22"/>
          <w:szCs w:val="22"/>
        </w:rPr>
      </w:pPr>
      <w:r w:rsidRPr="006E199C">
        <w:rPr>
          <w:sz w:val="22"/>
          <w:szCs w:val="22"/>
          <w:highlight w:val="lightGray"/>
        </w:rPr>
        <w:t xml:space="preserve">[El coeficiente de solvencia (activo circulante/pasivo circulante) del último año para el que se disponga de cuentas cerradas deberá ser equivalente, como mínimo, a </w:t>
      </w:r>
      <w:r w:rsidR="006E199C">
        <w:rPr>
          <w:sz w:val="22"/>
          <w:szCs w:val="22"/>
          <w:highlight w:val="lightGray"/>
        </w:rPr>
        <w:t>uno</w:t>
      </w:r>
      <w:r w:rsidRPr="006E199C">
        <w:rPr>
          <w:sz w:val="22"/>
          <w:szCs w:val="22"/>
          <w:highlight w:val="lightGray"/>
        </w:rPr>
        <w:t xml:space="preserve">. En caso de </w:t>
      </w:r>
      <w:r w:rsidRPr="006E199C">
        <w:rPr>
          <w:sz w:val="22"/>
          <w:szCs w:val="22"/>
          <w:highlight w:val="lightGray"/>
        </w:rPr>
        <w:lastRenderedPageBreak/>
        <w:t>consorcio, cada miembro deberá cumplir este criterio.]</w:t>
      </w:r>
    </w:p>
    <w:p w:rsidR="007471C5" w:rsidRPr="00AB2EF7" w:rsidRDefault="007471C5" w:rsidP="004F34C4">
      <w:pPr>
        <w:pStyle w:val="Blockquote"/>
        <w:tabs>
          <w:tab w:val="left" w:pos="284"/>
        </w:tabs>
        <w:ind w:left="426"/>
        <w:jc w:val="both"/>
        <w:rPr>
          <w:sz w:val="22"/>
          <w:szCs w:val="22"/>
        </w:rPr>
      </w:pPr>
      <w:r w:rsidRPr="00AB2EF7">
        <w:rPr>
          <w:sz w:val="22"/>
          <w:highlight w:val="lightGray"/>
        </w:rPr>
        <w:t xml:space="preserve">Criterios para </w:t>
      </w:r>
      <w:r w:rsidR="007F426F" w:rsidRPr="00AB2EF7">
        <w:rPr>
          <w:sz w:val="22"/>
          <w:highlight w:val="lightGray"/>
        </w:rPr>
        <w:t xml:space="preserve">las </w:t>
      </w:r>
      <w:r w:rsidRPr="00AB2EF7">
        <w:rPr>
          <w:sz w:val="22"/>
          <w:highlight w:val="lightGray"/>
        </w:rPr>
        <w:t>personas físicas y jurídicas:</w:t>
      </w:r>
      <w:r w:rsidRPr="00AB2EF7">
        <w:rPr>
          <w:sz w:val="22"/>
        </w:rPr>
        <w:t xml:space="preserve"> </w:t>
      </w:r>
    </w:p>
    <w:p w:rsidR="007471C5" w:rsidRPr="00AB2EF7" w:rsidRDefault="007471C5" w:rsidP="004F34C4">
      <w:pPr>
        <w:pStyle w:val="Blockquote"/>
        <w:tabs>
          <w:tab w:val="left" w:pos="284"/>
        </w:tabs>
        <w:ind w:left="426"/>
        <w:jc w:val="both"/>
        <w:rPr>
          <w:sz w:val="22"/>
        </w:rPr>
      </w:pPr>
      <w:r w:rsidRPr="00CF7CB8">
        <w:rPr>
          <w:sz w:val="22"/>
          <w:highlight w:val="lightGray"/>
        </w:rPr>
        <w:t>1-</w:t>
      </w:r>
      <w:r w:rsidRPr="00D01CC1">
        <w:rPr>
          <w:sz w:val="22"/>
          <w:highlight w:val="yellow"/>
        </w:rPr>
        <w:t>&lt;</w:t>
      </w:r>
      <w:r w:rsidRPr="00AB2EF7">
        <w:rPr>
          <w:sz w:val="22"/>
          <w:highlight w:val="yellow"/>
        </w:rPr>
        <w:t>criterio de referencia</w:t>
      </w:r>
      <w:r w:rsidRPr="00D01CC1">
        <w:rPr>
          <w:sz w:val="22"/>
          <w:highlight w:val="yellow"/>
        </w:rPr>
        <w:t>&gt;</w:t>
      </w:r>
    </w:p>
    <w:p w:rsidR="00B42A35" w:rsidRPr="00AB2EF7" w:rsidRDefault="00D01CC1" w:rsidP="004F34C4">
      <w:pPr>
        <w:pStyle w:val="Blockquote"/>
        <w:tabs>
          <w:tab w:val="left" w:pos="284"/>
        </w:tabs>
        <w:ind w:left="426"/>
        <w:jc w:val="both"/>
        <w:rPr>
          <w:sz w:val="22"/>
          <w:szCs w:val="22"/>
        </w:rPr>
      </w:pPr>
      <w:r>
        <w:rPr>
          <w:sz w:val="22"/>
          <w:highlight w:val="lightGray"/>
        </w:rPr>
        <w:t>2</w:t>
      </w:r>
      <w:r w:rsidR="00B42A35" w:rsidRPr="00CF7CB8">
        <w:rPr>
          <w:sz w:val="22"/>
          <w:highlight w:val="lightGray"/>
        </w:rPr>
        <w:t>-</w:t>
      </w:r>
      <w:r w:rsidR="00B42A35" w:rsidRPr="00D01CC1">
        <w:rPr>
          <w:sz w:val="22"/>
          <w:highlight w:val="yellow"/>
        </w:rPr>
        <w:t>&lt;</w:t>
      </w:r>
      <w:r w:rsidR="00B42A35" w:rsidRPr="00AB2EF7">
        <w:rPr>
          <w:sz w:val="22"/>
          <w:highlight w:val="yellow"/>
        </w:rPr>
        <w:t>criterio de referencia</w:t>
      </w:r>
      <w:r w:rsidR="00B42A35" w:rsidRPr="00D01CC1">
        <w:rPr>
          <w:sz w:val="22"/>
          <w:highlight w:val="yellow"/>
        </w:rPr>
        <w:t>&gt;</w:t>
      </w:r>
    </w:p>
    <w:p w:rsidR="004F34C4" w:rsidRPr="00AB2EF7" w:rsidRDefault="007F426F" w:rsidP="004F34C4">
      <w:pPr>
        <w:pStyle w:val="Blockquote"/>
        <w:tabs>
          <w:tab w:val="left" w:pos="284"/>
        </w:tabs>
        <w:ind w:left="426"/>
        <w:jc w:val="both"/>
        <w:rPr>
          <w:sz w:val="22"/>
          <w:szCs w:val="22"/>
        </w:rPr>
      </w:pPr>
      <w:r w:rsidRPr="00CF7CB8">
        <w:rPr>
          <w:sz w:val="22"/>
        </w:rPr>
        <w:t>&lt;</w:t>
      </w:r>
      <w:r w:rsidRPr="00AB2EF7">
        <w:rPr>
          <w:sz w:val="22"/>
          <w:szCs w:val="22"/>
          <w:highlight w:val="yellow"/>
        </w:rPr>
        <w:t>etc.</w:t>
      </w:r>
      <w:r w:rsidRPr="00CF7CB8">
        <w:rPr>
          <w:sz w:val="22"/>
        </w:rPr>
        <w:t>&gt;</w:t>
      </w:r>
      <w:r w:rsidRPr="00AB2EF7">
        <w:rPr>
          <w:sz w:val="22"/>
          <w:szCs w:val="22"/>
        </w:rPr>
        <w:t>]</w:t>
      </w:r>
    </w:p>
    <w:p w:rsidR="007471C5" w:rsidRPr="00AB2EF7" w:rsidRDefault="00B42A35" w:rsidP="004F34C4">
      <w:pPr>
        <w:pStyle w:val="Blockquote"/>
        <w:tabs>
          <w:tab w:val="left" w:pos="284"/>
        </w:tabs>
        <w:ind w:left="426"/>
        <w:jc w:val="both"/>
        <w:rPr>
          <w:sz w:val="22"/>
          <w:szCs w:val="22"/>
          <w:highlight w:val="yellow"/>
        </w:rPr>
      </w:pPr>
      <w:r w:rsidRPr="00AB2EF7">
        <w:rPr>
          <w:b/>
          <w:sz w:val="22"/>
          <w:highlight w:val="yellow"/>
        </w:rPr>
        <w:t>[</w:t>
      </w:r>
      <w:r w:rsidR="004F34C4" w:rsidRPr="00AB2EF7">
        <w:rPr>
          <w:b/>
          <w:sz w:val="22"/>
          <w:highlight w:val="yellow"/>
        </w:rPr>
        <w:t>Si los criterios aplicables a las personas físicas y jurídicas son diferentes</w:t>
      </w:r>
    </w:p>
    <w:p w:rsidR="006C0EB6" w:rsidRPr="006E199C" w:rsidRDefault="001E50A2" w:rsidP="006C0EB6">
      <w:pPr>
        <w:pStyle w:val="Blockquote"/>
        <w:shd w:val="clear" w:color="auto" w:fill="FFFF00"/>
        <w:jc w:val="both"/>
        <w:rPr>
          <w:b/>
          <w:sz w:val="22"/>
          <w:szCs w:val="22"/>
          <w:highlight w:val="yellow"/>
        </w:rPr>
      </w:pPr>
      <w:r w:rsidRPr="006E199C">
        <w:rPr>
          <w:b/>
          <w:sz w:val="22"/>
          <w:highlight w:val="yellow"/>
        </w:rPr>
        <w:t xml:space="preserve">Ejemplos de criterios financieros de referencia para las personas </w:t>
      </w:r>
      <w:r w:rsidRPr="006E199C">
        <w:rPr>
          <w:b/>
          <w:sz w:val="22"/>
          <w:highlight w:val="yellow"/>
          <w:u w:val="single"/>
        </w:rPr>
        <w:t>jurídicas</w:t>
      </w:r>
      <w:r w:rsidRPr="006E199C">
        <w:rPr>
          <w:b/>
          <w:sz w:val="22"/>
          <w:highlight w:val="yellow"/>
        </w:rPr>
        <w:t>:</w:t>
      </w:r>
      <w:r w:rsidR="007F426F" w:rsidRPr="006E199C">
        <w:rPr>
          <w:b/>
          <w:sz w:val="22"/>
          <w:highlight w:val="yellow"/>
        </w:rPr>
        <w:t xml:space="preserve"> </w:t>
      </w:r>
      <w:r w:rsidR="007F426F" w:rsidRPr="006E199C">
        <w:rPr>
          <w:sz w:val="22"/>
          <w:szCs w:val="22"/>
          <w:highlight w:val="yellow"/>
        </w:rPr>
        <w:t xml:space="preserve">véanse </w:t>
      </w:r>
      <w:r w:rsidR="007F426F" w:rsidRPr="006E199C">
        <w:rPr>
          <w:i/>
          <w:sz w:val="22"/>
          <w:szCs w:val="22"/>
          <w:highlight w:val="yellow"/>
        </w:rPr>
        <w:t>supra</w:t>
      </w:r>
      <w:r w:rsidR="007F426F" w:rsidRPr="006E199C">
        <w:rPr>
          <w:sz w:val="22"/>
          <w:szCs w:val="22"/>
          <w:highlight w:val="yellow"/>
        </w:rPr>
        <w:t xml:space="preserve"> algunos ejemplos de criterios financieros para las personas físicas y jurídicas</w:t>
      </w:r>
    </w:p>
    <w:p w:rsidR="006C0EB6" w:rsidRPr="00AB2EF7" w:rsidRDefault="006C0EB6" w:rsidP="007F426F">
      <w:pPr>
        <w:pStyle w:val="Blockquote"/>
        <w:tabs>
          <w:tab w:val="left" w:pos="284"/>
        </w:tabs>
        <w:ind w:left="426"/>
        <w:jc w:val="both"/>
        <w:rPr>
          <w:sz w:val="22"/>
          <w:highlight w:val="lightGray"/>
        </w:rPr>
      </w:pPr>
      <w:r w:rsidRPr="00AB2EF7">
        <w:rPr>
          <w:sz w:val="22"/>
          <w:highlight w:val="lightGray"/>
        </w:rPr>
        <w:t xml:space="preserve">Criterios para </w:t>
      </w:r>
      <w:r w:rsidR="007F426F" w:rsidRPr="00AB2EF7">
        <w:rPr>
          <w:sz w:val="22"/>
          <w:highlight w:val="lightGray"/>
        </w:rPr>
        <w:t xml:space="preserve">las </w:t>
      </w:r>
      <w:r w:rsidRPr="00AB2EF7">
        <w:rPr>
          <w:sz w:val="22"/>
          <w:highlight w:val="lightGray"/>
        </w:rPr>
        <w:t xml:space="preserve">personas jurídicas: </w:t>
      </w:r>
    </w:p>
    <w:p w:rsidR="007F426F" w:rsidRPr="00CF7CB8" w:rsidRDefault="007F426F" w:rsidP="007F426F">
      <w:pPr>
        <w:pStyle w:val="Blockquote"/>
        <w:tabs>
          <w:tab w:val="left" w:pos="851"/>
        </w:tabs>
        <w:ind w:left="851" w:hanging="284"/>
        <w:jc w:val="both"/>
        <w:rPr>
          <w:sz w:val="22"/>
          <w:szCs w:val="22"/>
        </w:rPr>
      </w:pPr>
      <w:r w:rsidRPr="00CF7CB8">
        <w:rPr>
          <w:sz w:val="22"/>
          <w:szCs w:val="22"/>
          <w:highlight w:val="lightGray"/>
        </w:rPr>
        <w:t>1-</w:t>
      </w:r>
      <w:r w:rsidRPr="00CF7CB8">
        <w:rPr>
          <w:sz w:val="22"/>
          <w:szCs w:val="22"/>
          <w:highlight w:val="yellow"/>
        </w:rPr>
        <w:t>&lt;criterio de referencia&gt;</w:t>
      </w:r>
    </w:p>
    <w:p w:rsidR="007F426F" w:rsidRPr="00CF7CB8" w:rsidRDefault="007F426F" w:rsidP="007F426F">
      <w:pPr>
        <w:pStyle w:val="Blockquote"/>
        <w:tabs>
          <w:tab w:val="left" w:pos="851"/>
        </w:tabs>
        <w:ind w:left="851" w:hanging="284"/>
        <w:jc w:val="both"/>
        <w:rPr>
          <w:sz w:val="22"/>
          <w:szCs w:val="22"/>
        </w:rPr>
      </w:pPr>
      <w:r w:rsidRPr="00CF7CB8">
        <w:rPr>
          <w:sz w:val="22"/>
          <w:szCs w:val="22"/>
          <w:highlight w:val="lightGray"/>
        </w:rPr>
        <w:t>2-</w:t>
      </w:r>
      <w:r w:rsidRPr="00CF7CB8">
        <w:rPr>
          <w:sz w:val="22"/>
          <w:szCs w:val="22"/>
          <w:highlight w:val="yellow"/>
        </w:rPr>
        <w:t>&lt;criterio de referencia&gt;</w:t>
      </w:r>
    </w:p>
    <w:p w:rsidR="006C0EB6" w:rsidRPr="00AB2EF7" w:rsidRDefault="007F426F" w:rsidP="007F426F">
      <w:pPr>
        <w:pStyle w:val="Blockquote"/>
        <w:tabs>
          <w:tab w:val="left" w:pos="851"/>
        </w:tabs>
        <w:ind w:left="851" w:hanging="284"/>
        <w:jc w:val="both"/>
        <w:rPr>
          <w:sz w:val="22"/>
          <w:szCs w:val="22"/>
        </w:rPr>
      </w:pPr>
      <w:r w:rsidRPr="00AB2EF7">
        <w:rPr>
          <w:sz w:val="22"/>
          <w:szCs w:val="22"/>
        </w:rPr>
        <w:t>&lt;</w:t>
      </w:r>
      <w:r w:rsidRPr="00AB2EF7">
        <w:rPr>
          <w:sz w:val="22"/>
          <w:szCs w:val="22"/>
          <w:highlight w:val="yellow"/>
        </w:rPr>
        <w:t>etc.</w:t>
      </w:r>
      <w:r w:rsidRPr="00AB2EF7">
        <w:rPr>
          <w:sz w:val="22"/>
          <w:szCs w:val="22"/>
        </w:rPr>
        <w:t>&gt;</w:t>
      </w:r>
    </w:p>
    <w:p w:rsidR="004F4A09" w:rsidRPr="00AB2EF7" w:rsidRDefault="004F4A09" w:rsidP="004F4A09">
      <w:pPr>
        <w:pStyle w:val="Blockquote"/>
        <w:shd w:val="clear" w:color="auto" w:fill="FFFF00"/>
        <w:jc w:val="both"/>
        <w:rPr>
          <w:b/>
          <w:sz w:val="22"/>
          <w:szCs w:val="22"/>
        </w:rPr>
      </w:pPr>
      <w:r w:rsidRPr="00AB2EF7">
        <w:rPr>
          <w:b/>
          <w:sz w:val="22"/>
        </w:rPr>
        <w:t xml:space="preserve">Ejemplos de criterios financieros para las personas </w:t>
      </w:r>
      <w:r w:rsidRPr="00AB2EF7">
        <w:rPr>
          <w:b/>
          <w:sz w:val="22"/>
          <w:u w:val="single"/>
        </w:rPr>
        <w:t>físicas</w:t>
      </w:r>
      <w:r w:rsidRPr="00AB2EF7">
        <w:rPr>
          <w:b/>
          <w:sz w:val="22"/>
        </w:rPr>
        <w:t>:</w:t>
      </w:r>
    </w:p>
    <w:p w:rsidR="004F4A09" w:rsidRPr="006E199C" w:rsidRDefault="007F426F" w:rsidP="004F4A09">
      <w:pPr>
        <w:pStyle w:val="Blockquote"/>
        <w:numPr>
          <w:ilvl w:val="0"/>
          <w:numId w:val="36"/>
        </w:numPr>
        <w:shd w:val="clear" w:color="auto" w:fill="FFFF00"/>
        <w:tabs>
          <w:tab w:val="num" w:pos="720"/>
        </w:tabs>
        <w:ind w:left="720"/>
        <w:jc w:val="both"/>
        <w:rPr>
          <w:sz w:val="22"/>
          <w:szCs w:val="22"/>
        </w:rPr>
      </w:pPr>
      <w:r w:rsidRPr="006E199C">
        <w:rPr>
          <w:sz w:val="22"/>
          <w:szCs w:val="22"/>
          <w:highlight w:val="yellow"/>
        </w:rPr>
        <w:t xml:space="preserve">los recursos financieros disponibles del licitador deberán ser superiores al presupuesto máximo anualizado del contrato, es decir, el presupuesto máximo estipulado en el anuncio de contrato dividido por la duración inicial del contrato en años, cuando esta sea superior a </w:t>
      </w:r>
      <w:r w:rsidR="006E199C" w:rsidRPr="006E199C">
        <w:rPr>
          <w:sz w:val="22"/>
          <w:szCs w:val="22"/>
          <w:highlight w:val="yellow"/>
        </w:rPr>
        <w:t>un</w:t>
      </w:r>
      <w:r w:rsidRPr="006E199C">
        <w:rPr>
          <w:sz w:val="22"/>
          <w:szCs w:val="22"/>
          <w:highlight w:val="yellow"/>
        </w:rPr>
        <w:t xml:space="preserve"> año (el volumen de negocios anual mínimo solicitado no puede ser superior a dos veces el valor anual estimado del contrato, excepto en casos debidamente justificados y motivados en el expediente de licitación); y</w:t>
      </w:r>
    </w:p>
    <w:p w:rsidR="004F4A09" w:rsidRPr="00AB2EF7" w:rsidRDefault="004F4A09" w:rsidP="004F34C4">
      <w:pPr>
        <w:pStyle w:val="Blockquote"/>
        <w:numPr>
          <w:ilvl w:val="0"/>
          <w:numId w:val="37"/>
        </w:numPr>
        <w:shd w:val="clear" w:color="auto" w:fill="FFFF00"/>
        <w:tabs>
          <w:tab w:val="clear" w:pos="360"/>
          <w:tab w:val="num" w:pos="720"/>
        </w:tabs>
        <w:ind w:left="720"/>
        <w:jc w:val="both"/>
        <w:rPr>
          <w:sz w:val="22"/>
          <w:szCs w:val="22"/>
        </w:rPr>
      </w:pPr>
      <w:r w:rsidRPr="00AB2EF7">
        <w:rPr>
          <w:sz w:val="22"/>
        </w:rPr>
        <w:t>la situación financiera del licitador no deberá ser deficitaria, teniendo en cuenta las deudas, a comienzos y finales del año.</w:t>
      </w:r>
    </w:p>
    <w:p w:rsidR="006B534E" w:rsidRPr="00AB2EF7" w:rsidRDefault="006B534E" w:rsidP="006B534E">
      <w:pPr>
        <w:pStyle w:val="Blockquote"/>
        <w:tabs>
          <w:tab w:val="left" w:pos="284"/>
        </w:tabs>
        <w:ind w:left="426"/>
        <w:jc w:val="both"/>
        <w:rPr>
          <w:sz w:val="22"/>
          <w:szCs w:val="22"/>
        </w:rPr>
      </w:pPr>
      <w:r w:rsidRPr="00AB2EF7">
        <w:rPr>
          <w:sz w:val="22"/>
          <w:highlight w:val="lightGray"/>
        </w:rPr>
        <w:t>Criterios para personas físicas y jurídicas:</w:t>
      </w:r>
      <w:r w:rsidRPr="00AB2EF7">
        <w:rPr>
          <w:sz w:val="22"/>
        </w:rPr>
        <w:t xml:space="preserve"> </w:t>
      </w:r>
    </w:p>
    <w:p w:rsidR="006B534E" w:rsidRPr="00AB2EF7" w:rsidRDefault="006B534E" w:rsidP="006B534E">
      <w:pPr>
        <w:pStyle w:val="Blockquote"/>
        <w:tabs>
          <w:tab w:val="left" w:pos="284"/>
        </w:tabs>
        <w:ind w:left="426"/>
        <w:jc w:val="both"/>
        <w:rPr>
          <w:sz w:val="22"/>
        </w:rPr>
      </w:pPr>
      <w:r w:rsidRPr="00CF7CB8">
        <w:rPr>
          <w:sz w:val="22"/>
          <w:highlight w:val="lightGray"/>
        </w:rPr>
        <w:t>1-</w:t>
      </w:r>
      <w:r w:rsidRPr="00CF7CB8">
        <w:rPr>
          <w:sz w:val="22"/>
          <w:highlight w:val="yellow"/>
        </w:rPr>
        <w:t>&lt;</w:t>
      </w:r>
      <w:r w:rsidRPr="00AB2EF7">
        <w:rPr>
          <w:sz w:val="22"/>
          <w:highlight w:val="yellow"/>
        </w:rPr>
        <w:t>criterio de referencia</w:t>
      </w:r>
      <w:r w:rsidRPr="00CF7CB8">
        <w:rPr>
          <w:sz w:val="22"/>
          <w:highlight w:val="yellow"/>
        </w:rPr>
        <w:t>&gt;</w:t>
      </w:r>
    </w:p>
    <w:p w:rsidR="006B534E" w:rsidRPr="00AB2EF7" w:rsidRDefault="006B534E" w:rsidP="006B534E">
      <w:pPr>
        <w:pStyle w:val="Blockquote"/>
        <w:tabs>
          <w:tab w:val="left" w:pos="284"/>
        </w:tabs>
        <w:ind w:left="426"/>
        <w:jc w:val="both"/>
        <w:rPr>
          <w:sz w:val="22"/>
        </w:rPr>
      </w:pPr>
      <w:r w:rsidRPr="00CF7CB8">
        <w:rPr>
          <w:sz w:val="22"/>
          <w:highlight w:val="lightGray"/>
        </w:rPr>
        <w:t>2 -</w:t>
      </w:r>
      <w:r w:rsidRPr="00CF7CB8">
        <w:rPr>
          <w:sz w:val="22"/>
          <w:highlight w:val="yellow"/>
        </w:rPr>
        <w:t>&lt;</w:t>
      </w:r>
      <w:r w:rsidRPr="00AB2EF7">
        <w:rPr>
          <w:sz w:val="22"/>
          <w:highlight w:val="yellow"/>
        </w:rPr>
        <w:t>criterio de referencia</w:t>
      </w:r>
      <w:r w:rsidRPr="00CF7CB8">
        <w:rPr>
          <w:sz w:val="22"/>
          <w:highlight w:val="yellow"/>
        </w:rPr>
        <w:t>&gt;</w:t>
      </w:r>
    </w:p>
    <w:p w:rsidR="007F426F" w:rsidRPr="00AB2EF7" w:rsidRDefault="007F426F" w:rsidP="006B534E">
      <w:pPr>
        <w:pStyle w:val="Blockquote"/>
        <w:tabs>
          <w:tab w:val="left" w:pos="284"/>
        </w:tabs>
        <w:ind w:left="426"/>
        <w:jc w:val="both"/>
        <w:rPr>
          <w:sz w:val="22"/>
          <w:szCs w:val="22"/>
        </w:rPr>
      </w:pPr>
      <w:r w:rsidRPr="00AB2EF7">
        <w:rPr>
          <w:sz w:val="22"/>
          <w:szCs w:val="22"/>
        </w:rPr>
        <w:t>&lt;</w:t>
      </w:r>
      <w:r w:rsidRPr="00AB2EF7">
        <w:rPr>
          <w:sz w:val="22"/>
          <w:szCs w:val="22"/>
          <w:highlight w:val="yellow"/>
        </w:rPr>
        <w:t>etc.</w:t>
      </w:r>
      <w:r w:rsidRPr="00AB2EF7">
        <w:rPr>
          <w:sz w:val="22"/>
          <w:szCs w:val="22"/>
        </w:rPr>
        <w:t>&gt;]</w:t>
      </w:r>
    </w:p>
    <w:p w:rsidR="006F5FD0" w:rsidRPr="00AB2EF7" w:rsidRDefault="00571687" w:rsidP="00571687">
      <w:pPr>
        <w:pStyle w:val="Blockquote"/>
        <w:ind w:left="641" w:right="357" w:hanging="284"/>
        <w:jc w:val="both"/>
        <w:rPr>
          <w:sz w:val="22"/>
          <w:szCs w:val="22"/>
        </w:rPr>
      </w:pPr>
      <w:r w:rsidRPr="00AB2EF7">
        <w:rPr>
          <w:b/>
          <w:sz w:val="22"/>
          <w:szCs w:val="22"/>
          <w:u w:val="single"/>
        </w:rPr>
        <w:t>2)</w:t>
      </w:r>
      <w:r w:rsidRPr="00AB2EF7">
        <w:rPr>
          <w:sz w:val="22"/>
          <w:szCs w:val="22"/>
          <w:u w:val="single"/>
        </w:rPr>
        <w:tab/>
      </w:r>
      <w:r w:rsidRPr="00AB2EF7">
        <w:rPr>
          <w:b/>
          <w:sz w:val="22"/>
          <w:szCs w:val="22"/>
          <w:u w:val="single"/>
        </w:rPr>
        <w:t>Capacidad profesional del licitador</w:t>
      </w:r>
      <w:r w:rsidRPr="00AB2EF7">
        <w:rPr>
          <w:sz w:val="22"/>
          <w:szCs w:val="22"/>
        </w:rPr>
        <w:t xml:space="preserve"> (basada en el </w:t>
      </w:r>
      <w:r w:rsidR="003F6918" w:rsidRPr="00AB2EF7">
        <w:rPr>
          <w:sz w:val="22"/>
          <w:szCs w:val="22"/>
        </w:rPr>
        <w:t>punto</w:t>
      </w:r>
      <w:r w:rsidRPr="00AB2EF7">
        <w:rPr>
          <w:sz w:val="22"/>
          <w:szCs w:val="22"/>
        </w:rPr>
        <w:t xml:space="preserve"> 4 del formulario de </w:t>
      </w:r>
      <w:r w:rsidR="00271370" w:rsidRPr="00AB2EF7">
        <w:rPr>
          <w:sz w:val="22"/>
          <w:szCs w:val="22"/>
        </w:rPr>
        <w:t xml:space="preserve">presentación de </w:t>
      </w:r>
      <w:r w:rsidR="00B752C1" w:rsidRPr="00AB2EF7">
        <w:rPr>
          <w:sz w:val="22"/>
          <w:szCs w:val="22"/>
        </w:rPr>
        <w:t xml:space="preserve">la </w:t>
      </w:r>
      <w:r w:rsidR="00271370" w:rsidRPr="00AB2EF7">
        <w:rPr>
          <w:sz w:val="22"/>
          <w:szCs w:val="22"/>
        </w:rPr>
        <w:t>oferta</w:t>
      </w:r>
      <w:r w:rsidRPr="00AB2EF7">
        <w:rPr>
          <w:sz w:val="22"/>
          <w:szCs w:val="22"/>
        </w:rPr>
        <w:t>).</w:t>
      </w:r>
    </w:p>
    <w:p w:rsidR="007F426F" w:rsidRPr="006E199C" w:rsidRDefault="007F426F" w:rsidP="007F426F">
      <w:pPr>
        <w:pStyle w:val="Blockquote"/>
        <w:jc w:val="both"/>
        <w:rPr>
          <w:sz w:val="22"/>
          <w:szCs w:val="22"/>
        </w:rPr>
      </w:pPr>
      <w:r w:rsidRPr="006E199C">
        <w:rPr>
          <w:sz w:val="22"/>
          <w:szCs w:val="22"/>
        </w:rPr>
        <w:t xml:space="preserve">El período de referencia que se tendrá en cuenta será el de los últimos </w:t>
      </w:r>
      <w:r w:rsidRPr="00266EF1">
        <w:rPr>
          <w:sz w:val="22"/>
          <w:szCs w:val="22"/>
        </w:rPr>
        <w:t>tres</w:t>
      </w:r>
      <w:r w:rsidR="004E4444" w:rsidRPr="00266EF1">
        <w:t xml:space="preserve"> años</w:t>
      </w:r>
      <w:r w:rsidR="004E4444">
        <w:t xml:space="preserve"> </w:t>
      </w:r>
      <w:r w:rsidRPr="006E199C">
        <w:rPr>
          <w:sz w:val="22"/>
          <w:szCs w:val="22"/>
        </w:rPr>
        <w:t>anteriores a</w:t>
      </w:r>
      <w:r w:rsidR="00A3742E">
        <w:rPr>
          <w:sz w:val="22"/>
          <w:szCs w:val="22"/>
        </w:rPr>
        <w:t xml:space="preserve">l plazo </w:t>
      </w:r>
      <w:r w:rsidRPr="006E199C">
        <w:rPr>
          <w:sz w:val="22"/>
          <w:szCs w:val="22"/>
        </w:rPr>
        <w:t>de presentación.</w:t>
      </w:r>
    </w:p>
    <w:p w:rsidR="006F5FD0" w:rsidRPr="00AB2EF7" w:rsidRDefault="006F5FD0">
      <w:pPr>
        <w:pStyle w:val="Blockquote"/>
        <w:shd w:val="clear" w:color="auto" w:fill="FFFF00"/>
        <w:jc w:val="both"/>
        <w:rPr>
          <w:sz w:val="22"/>
          <w:szCs w:val="22"/>
        </w:rPr>
      </w:pPr>
      <w:r w:rsidRPr="00AB2EF7">
        <w:rPr>
          <w:sz w:val="22"/>
        </w:rPr>
        <w:t>El objetivo de este criterio es examinar si el licitador (es decir, el consorcio en su conjunto, en el caso de una oferta de un consorcio):</w:t>
      </w:r>
    </w:p>
    <w:p w:rsidR="006F5FD0" w:rsidRPr="00AB2EF7" w:rsidRDefault="006F5FD0">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tiene, con carácter permanente, recursos de personal y conocimientos técnicos suficientes para poder dar cumplimiento al </w:t>
      </w:r>
      <w:r w:rsidR="00A246D6" w:rsidRPr="00AB2EF7">
        <w:rPr>
          <w:sz w:val="22"/>
        </w:rPr>
        <w:t>contrato</w:t>
      </w:r>
      <w:r w:rsidRPr="00AB2EF7">
        <w:rPr>
          <w:sz w:val="22"/>
        </w:rPr>
        <w:t xml:space="preserve"> propuesto;</w:t>
      </w:r>
    </w:p>
    <w:p w:rsidR="006F5FD0" w:rsidRPr="00AB2EF7" w:rsidRDefault="006F5FD0">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no es un simple prestatario de servicios, es decir, un licitador que carece de conocimientos técnicos reales en los ámbitos relacionados con el </w:t>
      </w:r>
      <w:r w:rsidR="00A246D6" w:rsidRPr="00AB2EF7">
        <w:rPr>
          <w:sz w:val="22"/>
        </w:rPr>
        <w:t>contrato</w:t>
      </w:r>
      <w:r w:rsidRPr="00AB2EF7">
        <w:rPr>
          <w:sz w:val="22"/>
        </w:rPr>
        <w:t xml:space="preserve"> y se limita a localizar y proponer expertos adecuados a la descripción del proyecto.</w:t>
      </w:r>
    </w:p>
    <w:p w:rsidR="006F5FD0" w:rsidRPr="00AB2EF7" w:rsidRDefault="006F5FD0" w:rsidP="004F34C4">
      <w:pPr>
        <w:pStyle w:val="Blockquote"/>
        <w:shd w:val="clear" w:color="auto" w:fill="FFFF00"/>
        <w:jc w:val="both"/>
        <w:rPr>
          <w:sz w:val="22"/>
          <w:szCs w:val="22"/>
        </w:rPr>
      </w:pPr>
      <w:r w:rsidRPr="00AB2EF7">
        <w:rPr>
          <w:sz w:val="22"/>
        </w:rPr>
        <w:t>Téngase en cuenta que este criterio no debe desalentar la participación en esta licitación.</w:t>
      </w:r>
    </w:p>
    <w:p w:rsidR="006C0EB6" w:rsidRPr="00AB2EF7" w:rsidRDefault="006B534E" w:rsidP="008272C0">
      <w:pPr>
        <w:ind w:left="426"/>
        <w:rPr>
          <w:b/>
        </w:rPr>
      </w:pPr>
      <w:r w:rsidRPr="00AB2EF7">
        <w:rPr>
          <w:b/>
          <w:highlight w:val="yellow"/>
        </w:rPr>
        <w:t>[</w:t>
      </w:r>
      <w:r w:rsidR="006C0EB6" w:rsidRPr="00AB2EF7">
        <w:rPr>
          <w:b/>
          <w:highlight w:val="yellow"/>
        </w:rPr>
        <w:t>Si los criterios aplicables a las personas físicas y jurídicas son los mismos</w:t>
      </w:r>
    </w:p>
    <w:p w:rsidR="00BE783C" w:rsidRPr="00AB2EF7" w:rsidRDefault="008272C0" w:rsidP="004F34C4">
      <w:pPr>
        <w:pStyle w:val="Blockquote"/>
        <w:shd w:val="clear" w:color="auto" w:fill="FFFF00"/>
        <w:jc w:val="both"/>
        <w:rPr>
          <w:b/>
          <w:sz w:val="22"/>
          <w:szCs w:val="22"/>
        </w:rPr>
      </w:pPr>
      <w:r w:rsidRPr="00AB2EF7">
        <w:rPr>
          <w:b/>
          <w:sz w:val="22"/>
        </w:rPr>
        <w:t xml:space="preserve">Ejemplos de criterios profesionales para las personas </w:t>
      </w:r>
      <w:r w:rsidRPr="00AB2EF7">
        <w:rPr>
          <w:b/>
          <w:sz w:val="22"/>
          <w:u w:val="single"/>
        </w:rPr>
        <w:t>físicas y jurídicas</w:t>
      </w:r>
      <w:r w:rsidRPr="00AB2EF7">
        <w:rPr>
          <w:b/>
          <w:sz w:val="22"/>
        </w:rPr>
        <w:t>:</w:t>
      </w:r>
    </w:p>
    <w:p w:rsidR="00BE783C" w:rsidRPr="00AB2EF7" w:rsidRDefault="00BE783C" w:rsidP="004F34C4">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tiene un certificado profesional apropiado para este </w:t>
      </w:r>
      <w:r w:rsidR="00A246D6" w:rsidRPr="00AB2EF7">
        <w:rPr>
          <w:sz w:val="22"/>
        </w:rPr>
        <w:t>contrato</w:t>
      </w:r>
      <w:r w:rsidRPr="00AB2EF7">
        <w:rPr>
          <w:sz w:val="22"/>
        </w:rPr>
        <w:t>, por ejemplo &lt;especif</w:t>
      </w:r>
      <w:r w:rsidR="003F6918" w:rsidRPr="00AB2EF7">
        <w:rPr>
          <w:sz w:val="22"/>
        </w:rPr>
        <w:t>ique</w:t>
      </w:r>
      <w:r w:rsidRPr="00AB2EF7">
        <w:rPr>
          <w:sz w:val="22"/>
        </w:rPr>
        <w:t>&gt;;</w:t>
      </w:r>
    </w:p>
    <w:p w:rsidR="00BE783C" w:rsidRPr="00AB2EF7" w:rsidRDefault="00BE783C" w:rsidP="004F34C4">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al menos &lt;número proporcional a la cantidad de conocimientos técnicos necesarios para este </w:t>
      </w:r>
      <w:r w:rsidR="00A246D6" w:rsidRPr="00AB2EF7">
        <w:rPr>
          <w:sz w:val="22"/>
        </w:rPr>
        <w:lastRenderedPageBreak/>
        <w:t>contrato</w:t>
      </w:r>
      <w:r w:rsidRPr="00AB2EF7">
        <w:rPr>
          <w:sz w:val="22"/>
        </w:rPr>
        <w:t xml:space="preserve">&gt; empleados trabajan actualmente para el licitador en ámbitos relacionados con este </w:t>
      </w:r>
      <w:r w:rsidR="00A246D6" w:rsidRPr="00AB2EF7">
        <w:rPr>
          <w:sz w:val="22"/>
        </w:rPr>
        <w:t>contrato</w:t>
      </w:r>
      <w:r w:rsidRPr="00AB2EF7">
        <w:rPr>
          <w:sz w:val="22"/>
        </w:rPr>
        <w:t>; y</w:t>
      </w:r>
    </w:p>
    <w:p w:rsidR="006B534E" w:rsidRPr="00AB2EF7" w:rsidRDefault="006B534E" w:rsidP="006B534E">
      <w:pPr>
        <w:pStyle w:val="Blockquote"/>
        <w:ind w:left="709" w:hanging="283"/>
        <w:jc w:val="both"/>
        <w:rPr>
          <w:sz w:val="22"/>
        </w:rPr>
      </w:pPr>
      <w:r w:rsidRPr="00AB2EF7">
        <w:rPr>
          <w:sz w:val="22"/>
          <w:highlight w:val="lightGray"/>
        </w:rPr>
        <w:t>Criterios para personas físicas y jurídicas:</w:t>
      </w:r>
      <w:r w:rsidRPr="00AB2EF7">
        <w:rPr>
          <w:sz w:val="22"/>
        </w:rPr>
        <w:t xml:space="preserve"> </w:t>
      </w:r>
    </w:p>
    <w:p w:rsidR="007F426F" w:rsidRPr="00AB2EF7" w:rsidRDefault="007F426F" w:rsidP="007F426F">
      <w:pPr>
        <w:pStyle w:val="Blockquote"/>
        <w:ind w:left="709" w:hanging="283"/>
        <w:jc w:val="both"/>
        <w:rPr>
          <w:sz w:val="22"/>
          <w:szCs w:val="22"/>
          <w:highlight w:val="yellow"/>
        </w:rPr>
      </w:pPr>
      <w:r w:rsidRPr="00AB2EF7">
        <w:rPr>
          <w:sz w:val="22"/>
          <w:szCs w:val="22"/>
          <w:highlight w:val="lightGray"/>
        </w:rPr>
        <w:t>1-</w:t>
      </w:r>
      <w:r w:rsidRPr="00AB2EF7">
        <w:rPr>
          <w:sz w:val="22"/>
          <w:szCs w:val="22"/>
          <w:highlight w:val="yellow"/>
        </w:rPr>
        <w:t>&lt;criterio de referencia&gt;</w:t>
      </w:r>
    </w:p>
    <w:p w:rsidR="007F426F" w:rsidRPr="00AB2EF7" w:rsidRDefault="007F426F" w:rsidP="007F426F">
      <w:pPr>
        <w:pStyle w:val="Blockquote"/>
        <w:ind w:left="709" w:hanging="283"/>
        <w:jc w:val="both"/>
        <w:rPr>
          <w:sz w:val="22"/>
          <w:szCs w:val="22"/>
        </w:rPr>
      </w:pPr>
      <w:r w:rsidRPr="00AB2EF7">
        <w:rPr>
          <w:sz w:val="22"/>
          <w:szCs w:val="22"/>
          <w:highlight w:val="lightGray"/>
        </w:rPr>
        <w:t>2-</w:t>
      </w:r>
      <w:r w:rsidRPr="00AB2EF7">
        <w:rPr>
          <w:sz w:val="22"/>
          <w:szCs w:val="22"/>
          <w:highlight w:val="yellow"/>
        </w:rPr>
        <w:t>&lt;criterio de referencia&gt;</w:t>
      </w:r>
    </w:p>
    <w:p w:rsidR="003947E7" w:rsidRPr="00AB2EF7" w:rsidRDefault="007F426F" w:rsidP="007F426F">
      <w:pPr>
        <w:pStyle w:val="Blockquote"/>
        <w:ind w:left="709" w:hanging="283"/>
        <w:jc w:val="both"/>
        <w:rPr>
          <w:sz w:val="22"/>
          <w:szCs w:val="22"/>
        </w:rPr>
      </w:pPr>
      <w:r w:rsidRPr="00AB2EF7">
        <w:rPr>
          <w:sz w:val="22"/>
          <w:szCs w:val="22"/>
        </w:rPr>
        <w:t>&lt;</w:t>
      </w:r>
      <w:r w:rsidRPr="00AB2EF7">
        <w:rPr>
          <w:sz w:val="22"/>
          <w:szCs w:val="22"/>
          <w:highlight w:val="yellow"/>
        </w:rPr>
        <w:t>etc.</w:t>
      </w:r>
      <w:r w:rsidRPr="00AB2EF7">
        <w:rPr>
          <w:sz w:val="22"/>
          <w:szCs w:val="22"/>
        </w:rPr>
        <w:t>&gt;]</w:t>
      </w:r>
    </w:p>
    <w:p w:rsidR="001E50A2" w:rsidRPr="00AB2EF7" w:rsidRDefault="006B534E" w:rsidP="008272C0">
      <w:pPr>
        <w:ind w:left="426"/>
        <w:rPr>
          <w:b/>
        </w:rPr>
      </w:pPr>
      <w:r w:rsidRPr="00AB2EF7">
        <w:rPr>
          <w:b/>
          <w:highlight w:val="yellow"/>
        </w:rPr>
        <w:t>[</w:t>
      </w:r>
      <w:r w:rsidR="001E50A2" w:rsidRPr="00AB2EF7">
        <w:rPr>
          <w:b/>
          <w:highlight w:val="yellow"/>
        </w:rPr>
        <w:t>Si los criterios aplicables a las personas físicas y jurídicas son diferentes</w:t>
      </w:r>
      <w:r w:rsidR="001E50A2" w:rsidRPr="00AB2EF7">
        <w:rPr>
          <w:b/>
        </w:rPr>
        <w:t xml:space="preserve"> </w:t>
      </w:r>
    </w:p>
    <w:p w:rsidR="001E50A2" w:rsidRPr="00CF7CB8" w:rsidRDefault="008272C0" w:rsidP="007F426F">
      <w:pPr>
        <w:pStyle w:val="Blockquote"/>
        <w:shd w:val="clear" w:color="auto" w:fill="FFFF00"/>
        <w:jc w:val="both"/>
        <w:rPr>
          <w:b/>
          <w:sz w:val="22"/>
          <w:szCs w:val="22"/>
          <w:lang w:eastAsia="en-US" w:bidi="ar-SA"/>
        </w:rPr>
      </w:pPr>
      <w:r w:rsidRPr="00CF7CB8">
        <w:rPr>
          <w:b/>
          <w:sz w:val="22"/>
        </w:rPr>
        <w:t xml:space="preserve">Ejemplos de criterios profesionales para las personas </w:t>
      </w:r>
      <w:r w:rsidRPr="00CF7CB8">
        <w:rPr>
          <w:b/>
          <w:sz w:val="22"/>
          <w:u w:val="single"/>
        </w:rPr>
        <w:t>jurídicas</w:t>
      </w:r>
      <w:r w:rsidRPr="00CF7CB8">
        <w:rPr>
          <w:b/>
          <w:sz w:val="22"/>
        </w:rPr>
        <w:t>:</w:t>
      </w:r>
      <w:r w:rsidR="007F426F" w:rsidRPr="00CF7CB8">
        <w:rPr>
          <w:b/>
          <w:sz w:val="22"/>
        </w:rPr>
        <w:t xml:space="preserve"> </w:t>
      </w:r>
      <w:r w:rsidR="007F426F" w:rsidRPr="00CF7CB8">
        <w:rPr>
          <w:sz w:val="22"/>
          <w:szCs w:val="22"/>
          <w:highlight w:val="yellow"/>
        </w:rPr>
        <w:t xml:space="preserve">véanse </w:t>
      </w:r>
      <w:r w:rsidR="007F426F" w:rsidRPr="00CF7CB8">
        <w:rPr>
          <w:i/>
          <w:sz w:val="22"/>
          <w:szCs w:val="22"/>
          <w:highlight w:val="yellow"/>
        </w:rPr>
        <w:t>supra</w:t>
      </w:r>
      <w:r w:rsidR="007F426F" w:rsidRPr="00CF7CB8">
        <w:rPr>
          <w:sz w:val="22"/>
          <w:szCs w:val="22"/>
          <w:highlight w:val="yellow"/>
        </w:rPr>
        <w:t xml:space="preserve"> algunos ejemplos de criterios profesionales para las personas físicas y jurídicas</w:t>
      </w:r>
    </w:p>
    <w:p w:rsidR="006B534E" w:rsidRPr="00CF7CB8" w:rsidRDefault="006B534E" w:rsidP="00CF7CB8">
      <w:pPr>
        <w:pStyle w:val="Blockquote"/>
        <w:shd w:val="clear" w:color="auto" w:fill="FFFF00"/>
        <w:ind w:firstLine="360"/>
        <w:jc w:val="both"/>
        <w:rPr>
          <w:sz w:val="22"/>
          <w:szCs w:val="22"/>
          <w:highlight w:val="lightGray"/>
          <w:lang w:eastAsia="en-US" w:bidi="ar-SA"/>
        </w:rPr>
      </w:pPr>
      <w:r w:rsidRPr="00CF7CB8">
        <w:rPr>
          <w:sz w:val="22"/>
          <w:szCs w:val="22"/>
          <w:highlight w:val="lightGray"/>
          <w:lang w:eastAsia="en-US" w:bidi="ar-SA"/>
        </w:rPr>
        <w:t xml:space="preserve">Criterios para personas jurídicas: </w:t>
      </w:r>
    </w:p>
    <w:p w:rsidR="006B534E" w:rsidRPr="00AB2EF7" w:rsidRDefault="006B534E" w:rsidP="006B534E">
      <w:pPr>
        <w:pStyle w:val="Blockquote"/>
        <w:tabs>
          <w:tab w:val="left" w:pos="284"/>
        </w:tabs>
        <w:ind w:left="426"/>
        <w:jc w:val="both"/>
        <w:rPr>
          <w:sz w:val="22"/>
        </w:rPr>
      </w:pPr>
      <w:r w:rsidRPr="00CF7CB8">
        <w:rPr>
          <w:sz w:val="22"/>
          <w:szCs w:val="22"/>
          <w:highlight w:val="lightGray"/>
        </w:rPr>
        <w:t>1-</w:t>
      </w:r>
      <w:r w:rsidRPr="00CF7CB8">
        <w:rPr>
          <w:sz w:val="22"/>
          <w:highlight w:val="yellow"/>
        </w:rPr>
        <w:t>&lt;</w:t>
      </w:r>
      <w:r w:rsidRPr="00AB2EF7">
        <w:rPr>
          <w:sz w:val="22"/>
          <w:highlight w:val="yellow"/>
        </w:rPr>
        <w:t>criterio de referencia</w:t>
      </w:r>
      <w:r w:rsidRPr="00CF7CB8">
        <w:rPr>
          <w:sz w:val="22"/>
          <w:highlight w:val="yellow"/>
        </w:rPr>
        <w:t>&gt;</w:t>
      </w:r>
    </w:p>
    <w:p w:rsidR="006B534E" w:rsidRPr="00AB2EF7" w:rsidRDefault="00D01CC1" w:rsidP="006B534E">
      <w:pPr>
        <w:pStyle w:val="Blockquote"/>
        <w:tabs>
          <w:tab w:val="left" w:pos="284"/>
        </w:tabs>
        <w:ind w:left="426"/>
        <w:jc w:val="both"/>
        <w:rPr>
          <w:sz w:val="22"/>
          <w:szCs w:val="22"/>
        </w:rPr>
      </w:pPr>
      <w:r>
        <w:rPr>
          <w:sz w:val="22"/>
          <w:szCs w:val="22"/>
          <w:highlight w:val="lightGray"/>
        </w:rPr>
        <w:t>2</w:t>
      </w:r>
      <w:r w:rsidR="006B534E" w:rsidRPr="00CF7CB8">
        <w:rPr>
          <w:sz w:val="22"/>
          <w:szCs w:val="22"/>
          <w:highlight w:val="lightGray"/>
        </w:rPr>
        <w:t>-</w:t>
      </w:r>
      <w:r w:rsidR="006B534E" w:rsidRPr="00CF7CB8">
        <w:rPr>
          <w:sz w:val="22"/>
          <w:highlight w:val="yellow"/>
        </w:rPr>
        <w:t>&lt;</w:t>
      </w:r>
      <w:r w:rsidR="006B534E" w:rsidRPr="00AB2EF7">
        <w:rPr>
          <w:sz w:val="22"/>
          <w:highlight w:val="yellow"/>
        </w:rPr>
        <w:t>criterio de referencia</w:t>
      </w:r>
      <w:r w:rsidR="006B534E" w:rsidRPr="00CF7CB8">
        <w:rPr>
          <w:sz w:val="22"/>
          <w:highlight w:val="yellow"/>
        </w:rPr>
        <w:t>&gt;</w:t>
      </w:r>
    </w:p>
    <w:p w:rsidR="001E50A2" w:rsidRPr="00AB2EF7" w:rsidRDefault="006B534E" w:rsidP="006B534E">
      <w:pPr>
        <w:ind w:left="426"/>
        <w:rPr>
          <w:sz w:val="22"/>
          <w:szCs w:val="22"/>
        </w:rPr>
      </w:pPr>
      <w:r w:rsidRPr="00AB2EF7">
        <w:rPr>
          <w:sz w:val="22"/>
          <w:szCs w:val="22"/>
        </w:rPr>
        <w:t>&lt;</w:t>
      </w:r>
      <w:r w:rsidRPr="00AB2EF7">
        <w:rPr>
          <w:sz w:val="22"/>
          <w:szCs w:val="22"/>
          <w:highlight w:val="yellow"/>
        </w:rPr>
        <w:t>etc.</w:t>
      </w:r>
      <w:r w:rsidRPr="00AB2EF7">
        <w:rPr>
          <w:sz w:val="22"/>
          <w:szCs w:val="22"/>
        </w:rPr>
        <w:t>&gt;</w:t>
      </w:r>
    </w:p>
    <w:p w:rsidR="004F4A09" w:rsidRPr="00AB2EF7" w:rsidRDefault="008272C0" w:rsidP="004F4A09">
      <w:pPr>
        <w:pStyle w:val="Blockquote"/>
        <w:shd w:val="clear" w:color="auto" w:fill="FFFF00"/>
        <w:jc w:val="both"/>
        <w:rPr>
          <w:b/>
          <w:sz w:val="22"/>
          <w:szCs w:val="22"/>
        </w:rPr>
      </w:pPr>
      <w:r w:rsidRPr="00AB2EF7">
        <w:rPr>
          <w:b/>
          <w:sz w:val="22"/>
        </w:rPr>
        <w:t xml:space="preserve">Ejemplos de criterios profesionales para las personas </w:t>
      </w:r>
      <w:r w:rsidRPr="00AB2EF7">
        <w:rPr>
          <w:b/>
          <w:sz w:val="22"/>
          <w:u w:val="single"/>
        </w:rPr>
        <w:t>físicas</w:t>
      </w:r>
      <w:r w:rsidRPr="00AB2EF7">
        <w:rPr>
          <w:b/>
          <w:sz w:val="22"/>
        </w:rPr>
        <w:t>:</w:t>
      </w:r>
    </w:p>
    <w:p w:rsidR="004F4A09" w:rsidRPr="00AB2EF7" w:rsidRDefault="004F4A09" w:rsidP="004F4A09">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tiene un certificado profesional apropiado para este </w:t>
      </w:r>
      <w:r w:rsidR="00A246D6" w:rsidRPr="00AB2EF7">
        <w:rPr>
          <w:sz w:val="22"/>
        </w:rPr>
        <w:t>contrato</w:t>
      </w:r>
      <w:r w:rsidRPr="00AB2EF7">
        <w:rPr>
          <w:sz w:val="22"/>
        </w:rPr>
        <w:t>, por ejemplo &lt;especif</w:t>
      </w:r>
      <w:r w:rsidR="003F6918" w:rsidRPr="00AB2EF7">
        <w:rPr>
          <w:sz w:val="22"/>
        </w:rPr>
        <w:t>ique</w:t>
      </w:r>
      <w:r w:rsidRPr="00AB2EF7">
        <w:rPr>
          <w:sz w:val="22"/>
        </w:rPr>
        <w:t>&gt;;</w:t>
      </w:r>
    </w:p>
    <w:p w:rsidR="004F4A09" w:rsidRPr="00AB2EF7" w:rsidRDefault="004F4A09" w:rsidP="004F34C4">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trabaja en la actualidad/ ha trabajado en los </w:t>
      </w:r>
      <w:r w:rsidRPr="001A2815">
        <w:rPr>
          <w:sz w:val="22"/>
        </w:rPr>
        <w:t xml:space="preserve">últimos </w:t>
      </w:r>
      <w:r w:rsidR="007F426F" w:rsidRPr="001A2815">
        <w:rPr>
          <w:sz w:val="22"/>
        </w:rPr>
        <w:t>5</w:t>
      </w:r>
      <w:r w:rsidRPr="001A2815">
        <w:rPr>
          <w:sz w:val="22"/>
        </w:rPr>
        <w:t xml:space="preserve"> años como &lt;director/jefe de equipo, etc.&gt; con &lt;número relacionado con la cantidad de conocimientos</w:t>
      </w:r>
      <w:r w:rsidRPr="00AB2EF7">
        <w:rPr>
          <w:sz w:val="22"/>
        </w:rPr>
        <w:t xml:space="preserve"> técnicos necesarios para este </w:t>
      </w:r>
      <w:r w:rsidR="00A246D6" w:rsidRPr="00AB2EF7">
        <w:rPr>
          <w:sz w:val="22"/>
        </w:rPr>
        <w:t>contrato</w:t>
      </w:r>
      <w:r w:rsidRPr="00AB2EF7">
        <w:rPr>
          <w:sz w:val="22"/>
        </w:rPr>
        <w:t xml:space="preserve">&gt; colaboradores en ámbitos </w:t>
      </w:r>
      <w:r w:rsidR="006B534E" w:rsidRPr="00AB2EF7">
        <w:rPr>
          <w:sz w:val="22"/>
        </w:rPr>
        <w:t xml:space="preserve">relacionados con este </w:t>
      </w:r>
      <w:r w:rsidR="00A246D6" w:rsidRPr="00AB2EF7">
        <w:rPr>
          <w:sz w:val="22"/>
        </w:rPr>
        <w:t>contrato</w:t>
      </w:r>
      <w:r w:rsidR="006B534E" w:rsidRPr="00AB2EF7">
        <w:rPr>
          <w:sz w:val="22"/>
        </w:rPr>
        <w:t>.</w:t>
      </w:r>
    </w:p>
    <w:p w:rsidR="006B534E" w:rsidRPr="00AB2EF7" w:rsidRDefault="006B534E" w:rsidP="006B534E">
      <w:pPr>
        <w:pStyle w:val="Blockquote"/>
        <w:ind w:left="641" w:hanging="284"/>
        <w:jc w:val="both"/>
        <w:rPr>
          <w:sz w:val="22"/>
        </w:rPr>
      </w:pPr>
      <w:r w:rsidRPr="00AB2EF7">
        <w:rPr>
          <w:sz w:val="22"/>
          <w:highlight w:val="lightGray"/>
        </w:rPr>
        <w:t>Criterios para personas físicas:</w:t>
      </w:r>
      <w:r w:rsidRPr="00AB2EF7">
        <w:rPr>
          <w:sz w:val="22"/>
        </w:rPr>
        <w:t xml:space="preserve"> </w:t>
      </w:r>
    </w:p>
    <w:p w:rsidR="006B534E" w:rsidRPr="00AB2EF7" w:rsidRDefault="006B534E" w:rsidP="006B534E">
      <w:pPr>
        <w:pStyle w:val="Blockquote"/>
        <w:ind w:left="641" w:hanging="284"/>
        <w:jc w:val="both"/>
        <w:rPr>
          <w:sz w:val="22"/>
        </w:rPr>
      </w:pPr>
      <w:r w:rsidRPr="00CF7CB8">
        <w:rPr>
          <w:sz w:val="22"/>
          <w:highlight w:val="lightGray"/>
        </w:rPr>
        <w:t>1-</w:t>
      </w:r>
      <w:r w:rsidRPr="00CF7CB8">
        <w:rPr>
          <w:sz w:val="22"/>
          <w:highlight w:val="yellow"/>
        </w:rPr>
        <w:t>&lt;</w:t>
      </w:r>
      <w:r w:rsidRPr="00AB2EF7">
        <w:rPr>
          <w:sz w:val="22"/>
          <w:highlight w:val="yellow"/>
        </w:rPr>
        <w:t>criterio de referencia</w:t>
      </w:r>
      <w:r w:rsidRPr="00CF7CB8">
        <w:rPr>
          <w:sz w:val="22"/>
          <w:highlight w:val="yellow"/>
        </w:rPr>
        <w:t>&gt;</w:t>
      </w:r>
    </w:p>
    <w:p w:rsidR="006B534E" w:rsidRPr="00AB2EF7" w:rsidRDefault="00CF7CB8" w:rsidP="006B534E">
      <w:pPr>
        <w:pStyle w:val="Blockquote"/>
        <w:ind w:left="641" w:hanging="284"/>
        <w:jc w:val="both"/>
        <w:rPr>
          <w:sz w:val="22"/>
        </w:rPr>
      </w:pPr>
      <w:r>
        <w:rPr>
          <w:sz w:val="22"/>
          <w:highlight w:val="lightGray"/>
        </w:rPr>
        <w:t>2</w:t>
      </w:r>
      <w:r w:rsidR="006B534E" w:rsidRPr="00CF7CB8">
        <w:rPr>
          <w:sz w:val="22"/>
          <w:highlight w:val="lightGray"/>
        </w:rPr>
        <w:t>-</w:t>
      </w:r>
      <w:r w:rsidR="006B534E" w:rsidRPr="00CF7CB8">
        <w:rPr>
          <w:sz w:val="22"/>
          <w:highlight w:val="yellow"/>
        </w:rPr>
        <w:t>&lt;</w:t>
      </w:r>
      <w:r w:rsidR="006B534E" w:rsidRPr="00AB2EF7">
        <w:rPr>
          <w:sz w:val="22"/>
          <w:highlight w:val="yellow"/>
        </w:rPr>
        <w:t>criterio de referencia</w:t>
      </w:r>
      <w:r w:rsidR="006B534E" w:rsidRPr="00CF7CB8">
        <w:rPr>
          <w:sz w:val="22"/>
          <w:highlight w:val="yellow"/>
        </w:rPr>
        <w:t>&gt;</w:t>
      </w:r>
    </w:p>
    <w:p w:rsidR="004F00C7" w:rsidRPr="00AB2EF7" w:rsidRDefault="006B534E" w:rsidP="006B534E">
      <w:pPr>
        <w:pStyle w:val="Blockquote"/>
        <w:ind w:left="641" w:hanging="284"/>
        <w:jc w:val="both"/>
        <w:rPr>
          <w:sz w:val="22"/>
          <w:szCs w:val="22"/>
        </w:rPr>
      </w:pPr>
      <w:r w:rsidRPr="00AB2EF7">
        <w:rPr>
          <w:sz w:val="22"/>
        </w:rPr>
        <w:t>&lt;</w:t>
      </w:r>
      <w:r w:rsidRPr="00AB2EF7">
        <w:rPr>
          <w:sz w:val="22"/>
          <w:highlight w:val="yellow"/>
        </w:rPr>
        <w:t>etc.</w:t>
      </w:r>
      <w:r w:rsidRPr="00AB2EF7">
        <w:rPr>
          <w:sz w:val="22"/>
        </w:rPr>
        <w:t>&gt;]</w:t>
      </w:r>
    </w:p>
    <w:p w:rsidR="006F5FD0" w:rsidRPr="001A2815" w:rsidRDefault="00571687" w:rsidP="00571687">
      <w:pPr>
        <w:pStyle w:val="Blockquote"/>
        <w:ind w:left="641" w:hanging="284"/>
        <w:jc w:val="both"/>
        <w:rPr>
          <w:i/>
          <w:sz w:val="22"/>
          <w:szCs w:val="22"/>
        </w:rPr>
      </w:pPr>
      <w:r w:rsidRPr="00AB2EF7">
        <w:rPr>
          <w:b/>
          <w:sz w:val="22"/>
          <w:szCs w:val="22"/>
          <w:u w:val="single"/>
        </w:rPr>
        <w:t>3)</w:t>
      </w:r>
      <w:r w:rsidRPr="00AB2EF7">
        <w:rPr>
          <w:sz w:val="22"/>
          <w:szCs w:val="22"/>
          <w:u w:val="single"/>
        </w:rPr>
        <w:tab/>
      </w:r>
      <w:r w:rsidRPr="001A2815">
        <w:rPr>
          <w:b/>
          <w:sz w:val="22"/>
          <w:szCs w:val="22"/>
          <w:u w:val="single"/>
        </w:rPr>
        <w:t xml:space="preserve">Capacidad técnica del </w:t>
      </w:r>
      <w:r w:rsidR="00E0231B">
        <w:rPr>
          <w:b/>
          <w:sz w:val="22"/>
          <w:szCs w:val="22"/>
          <w:u w:val="single"/>
        </w:rPr>
        <w:t>licitador</w:t>
      </w:r>
      <w:r w:rsidR="00E0231B" w:rsidRPr="001A2815">
        <w:rPr>
          <w:sz w:val="22"/>
          <w:szCs w:val="22"/>
        </w:rPr>
        <w:t xml:space="preserve"> </w:t>
      </w:r>
      <w:r w:rsidRPr="001A2815">
        <w:rPr>
          <w:sz w:val="22"/>
          <w:szCs w:val="22"/>
        </w:rPr>
        <w:t xml:space="preserve">(basada en los apartados 5 y 6 del formulario de </w:t>
      </w:r>
      <w:r w:rsidR="00271370" w:rsidRPr="001A2815">
        <w:rPr>
          <w:sz w:val="22"/>
          <w:szCs w:val="22"/>
        </w:rPr>
        <w:t xml:space="preserve">presentación de </w:t>
      </w:r>
      <w:r w:rsidR="00B752C1" w:rsidRPr="001A2815">
        <w:rPr>
          <w:sz w:val="22"/>
          <w:szCs w:val="22"/>
        </w:rPr>
        <w:t xml:space="preserve">la </w:t>
      </w:r>
      <w:r w:rsidR="00271370" w:rsidRPr="001A2815">
        <w:rPr>
          <w:sz w:val="22"/>
          <w:szCs w:val="22"/>
        </w:rPr>
        <w:t>oferta</w:t>
      </w:r>
      <w:r w:rsidRPr="001A2815">
        <w:rPr>
          <w:sz w:val="22"/>
          <w:szCs w:val="22"/>
        </w:rPr>
        <w:t>).</w:t>
      </w:r>
      <w:r w:rsidR="007F426F" w:rsidRPr="001A2815">
        <w:rPr>
          <w:sz w:val="22"/>
          <w:szCs w:val="22"/>
        </w:rPr>
        <w:t xml:space="preserve"> El período de referencia que se tendrá en cuenta será el de los últimos </w:t>
      </w:r>
      <w:r w:rsidR="008579F0">
        <w:rPr>
          <w:sz w:val="22"/>
          <w:szCs w:val="22"/>
        </w:rPr>
        <w:t>[</w:t>
      </w:r>
      <w:r w:rsidR="004E4444" w:rsidRPr="004E4444">
        <w:rPr>
          <w:sz w:val="22"/>
          <w:szCs w:val="22"/>
          <w:highlight w:val="lightGray"/>
        </w:rPr>
        <w:t>tres</w:t>
      </w:r>
      <w:r w:rsidR="004E4444" w:rsidRPr="004E4444">
        <w:rPr>
          <w:highlight w:val="lightGray"/>
        </w:rPr>
        <w:t xml:space="preserve"> </w:t>
      </w:r>
      <w:r w:rsidR="004E4444" w:rsidRPr="00266EF1">
        <w:rPr>
          <w:sz w:val="22"/>
          <w:szCs w:val="22"/>
          <w:highlight w:val="lightGray"/>
        </w:rPr>
        <w:t>años</w:t>
      </w:r>
      <w:r w:rsidR="008579F0">
        <w:rPr>
          <w:sz w:val="22"/>
          <w:szCs w:val="22"/>
        </w:rPr>
        <w:t>]</w:t>
      </w:r>
      <w:r w:rsidR="004E4444">
        <w:t xml:space="preserve"> </w:t>
      </w:r>
      <w:r w:rsidR="007F426F" w:rsidRPr="001A2815">
        <w:rPr>
          <w:sz w:val="22"/>
          <w:szCs w:val="22"/>
        </w:rPr>
        <w:t>anteriores a</w:t>
      </w:r>
      <w:r w:rsidR="00A3742E">
        <w:rPr>
          <w:sz w:val="22"/>
          <w:szCs w:val="22"/>
        </w:rPr>
        <w:t xml:space="preserve">l plazo </w:t>
      </w:r>
      <w:r w:rsidR="007F426F" w:rsidRPr="001A2815">
        <w:rPr>
          <w:sz w:val="22"/>
          <w:szCs w:val="22"/>
        </w:rPr>
        <w:t>de presentación.</w:t>
      </w:r>
    </w:p>
    <w:p w:rsidR="006F5FD0" w:rsidRPr="00AB2EF7" w:rsidRDefault="006F5FD0" w:rsidP="00AB2EF7">
      <w:pPr>
        <w:pStyle w:val="Blockquote"/>
        <w:shd w:val="clear" w:color="auto" w:fill="FFFF00"/>
        <w:tabs>
          <w:tab w:val="left" w:pos="426"/>
        </w:tabs>
        <w:jc w:val="both"/>
        <w:rPr>
          <w:sz w:val="22"/>
          <w:szCs w:val="22"/>
        </w:rPr>
      </w:pPr>
      <w:r w:rsidRPr="00AB2EF7">
        <w:rPr>
          <w:sz w:val="22"/>
        </w:rPr>
        <w:t>El objetivo de este criterio es examinar si el licitador (es decir, el consorcio en su conjunto, en el caso de una oferta de un consorcio)</w:t>
      </w:r>
      <w:r w:rsidR="00AB2EF7" w:rsidRPr="00AB2EF7">
        <w:rPr>
          <w:sz w:val="22"/>
        </w:rPr>
        <w:t xml:space="preserve"> </w:t>
      </w:r>
      <w:r w:rsidRPr="00AB2EF7">
        <w:rPr>
          <w:sz w:val="22"/>
        </w:rPr>
        <w:t xml:space="preserve">tiene conocimientos técnicos y experiencia suficientes para poder </w:t>
      </w:r>
      <w:r w:rsidR="00AB2EF7" w:rsidRPr="00AB2EF7">
        <w:rPr>
          <w:sz w:val="22"/>
        </w:rPr>
        <w:t>hacerse cargo del</w:t>
      </w:r>
      <w:r w:rsidRPr="00AB2EF7">
        <w:rPr>
          <w:sz w:val="22"/>
        </w:rPr>
        <w:t xml:space="preserve"> </w:t>
      </w:r>
      <w:r w:rsidR="00A246D6" w:rsidRPr="00AB2EF7">
        <w:rPr>
          <w:sz w:val="22"/>
        </w:rPr>
        <w:t>contrato</w:t>
      </w:r>
      <w:r w:rsidRPr="00AB2EF7">
        <w:rPr>
          <w:sz w:val="22"/>
        </w:rPr>
        <w:t xml:space="preserve"> propuesto.</w:t>
      </w:r>
    </w:p>
    <w:p w:rsidR="001661F7" w:rsidRPr="00AB2EF7" w:rsidRDefault="006B534E" w:rsidP="008272C0">
      <w:pPr>
        <w:tabs>
          <w:tab w:val="left" w:pos="709"/>
        </w:tabs>
        <w:ind w:left="709" w:hanging="283"/>
        <w:rPr>
          <w:b/>
        </w:rPr>
      </w:pPr>
      <w:r w:rsidRPr="00AB2EF7">
        <w:rPr>
          <w:b/>
          <w:highlight w:val="yellow"/>
        </w:rPr>
        <w:t>[</w:t>
      </w:r>
      <w:r w:rsidR="001661F7" w:rsidRPr="00AB2EF7">
        <w:rPr>
          <w:b/>
          <w:highlight w:val="yellow"/>
        </w:rPr>
        <w:t>Si los criterios aplicables a las personas físicas y jurídicas son los mismos</w:t>
      </w:r>
    </w:p>
    <w:p w:rsidR="00BE783C" w:rsidRPr="00AB2EF7" w:rsidRDefault="008272C0" w:rsidP="008272C0">
      <w:pPr>
        <w:pStyle w:val="Blockquote"/>
        <w:shd w:val="clear" w:color="auto" w:fill="FFFF00"/>
        <w:tabs>
          <w:tab w:val="left" w:pos="709"/>
        </w:tabs>
        <w:ind w:left="709" w:hanging="283"/>
        <w:jc w:val="both"/>
        <w:rPr>
          <w:b/>
          <w:sz w:val="22"/>
          <w:szCs w:val="22"/>
        </w:rPr>
      </w:pPr>
      <w:r w:rsidRPr="00AB2EF7">
        <w:rPr>
          <w:b/>
          <w:sz w:val="22"/>
        </w:rPr>
        <w:t xml:space="preserve">Ejemplo de criterio técnico para las personas </w:t>
      </w:r>
      <w:r w:rsidRPr="00AB2EF7">
        <w:rPr>
          <w:b/>
          <w:sz w:val="22"/>
          <w:u w:val="single"/>
        </w:rPr>
        <w:t>físicas y jurídicas</w:t>
      </w:r>
      <w:r w:rsidRPr="00AB2EF7">
        <w:rPr>
          <w:b/>
          <w:sz w:val="22"/>
        </w:rPr>
        <w:t>:</w:t>
      </w:r>
    </w:p>
    <w:p w:rsidR="001661F7" w:rsidRPr="00AB2EF7" w:rsidRDefault="00BE783C" w:rsidP="008272C0">
      <w:pPr>
        <w:pStyle w:val="Blockquote"/>
        <w:numPr>
          <w:ilvl w:val="0"/>
          <w:numId w:val="34"/>
        </w:numPr>
        <w:shd w:val="clear" w:color="auto" w:fill="FFFF00"/>
        <w:tabs>
          <w:tab w:val="clear" w:pos="360"/>
          <w:tab w:val="left" w:pos="709"/>
        </w:tabs>
        <w:ind w:left="709" w:hanging="283"/>
        <w:jc w:val="both"/>
        <w:rPr>
          <w:sz w:val="22"/>
          <w:szCs w:val="22"/>
        </w:rPr>
      </w:pPr>
      <w:r w:rsidRPr="00AB2EF7">
        <w:rPr>
          <w:sz w:val="22"/>
        </w:rPr>
        <w:t xml:space="preserve">el licitador ha prestado servicios con arreglo a al menos </w:t>
      </w:r>
      <w:r w:rsidR="006B534E" w:rsidRPr="00AB2EF7">
        <w:rPr>
          <w:sz w:val="22"/>
          <w:szCs w:val="22"/>
        </w:rPr>
        <w:t>&lt; número &gt; contrato[s] [cada uno]</w:t>
      </w:r>
      <w:r w:rsidRPr="00AB2EF7">
        <w:rPr>
          <w:sz w:val="22"/>
        </w:rPr>
        <w:t xml:space="preserve"> con un presupuesto como mínimo igual al de este </w:t>
      </w:r>
      <w:r w:rsidR="00A246D6" w:rsidRPr="00AB2EF7">
        <w:rPr>
          <w:sz w:val="22"/>
        </w:rPr>
        <w:t>contrato</w:t>
      </w:r>
      <w:r w:rsidRPr="00AB2EF7">
        <w:rPr>
          <w:sz w:val="22"/>
        </w:rPr>
        <w:t xml:space="preserve"> en &lt;especif</w:t>
      </w:r>
      <w:r w:rsidR="006B534E" w:rsidRPr="00AB2EF7">
        <w:rPr>
          <w:sz w:val="22"/>
        </w:rPr>
        <w:t>ique</w:t>
      </w:r>
      <w:r w:rsidRPr="00AB2EF7">
        <w:rPr>
          <w:sz w:val="22"/>
        </w:rPr>
        <w:t xml:space="preserve"> los ámbitos&gt; al que</w:t>
      </w:r>
      <w:r w:rsidR="006B534E" w:rsidRPr="00AB2EF7">
        <w:rPr>
          <w:sz w:val="22"/>
        </w:rPr>
        <w:t xml:space="preserve"> [</w:t>
      </w:r>
      <w:r w:rsidRPr="00AB2EF7">
        <w:rPr>
          <w:sz w:val="22"/>
        </w:rPr>
        <w:t>a los que</w:t>
      </w:r>
      <w:r w:rsidR="006B534E" w:rsidRPr="00AB2EF7">
        <w:rPr>
          <w:sz w:val="22"/>
        </w:rPr>
        <w:t>]</w:t>
      </w:r>
      <w:r w:rsidRPr="00AB2EF7">
        <w:rPr>
          <w:sz w:val="22"/>
        </w:rPr>
        <w:t xml:space="preserve"> se dio cumplimiento en cualquier momento del siguiente periodo</w:t>
      </w:r>
      <w:r w:rsidR="00AB2EF7" w:rsidRPr="00AB2EF7">
        <w:rPr>
          <w:sz w:val="22"/>
          <w:szCs w:val="22"/>
        </w:rPr>
        <w:t>&lt; fechas&gt;</w:t>
      </w:r>
      <w:r w:rsidRPr="00AB2EF7">
        <w:rPr>
          <w:sz w:val="22"/>
        </w:rPr>
        <w:t>.</w:t>
      </w:r>
    </w:p>
    <w:p w:rsidR="001D55F7" w:rsidRPr="00AB2EF7" w:rsidRDefault="00A43E7A" w:rsidP="001D55F7">
      <w:pPr>
        <w:pStyle w:val="Blockquote"/>
        <w:shd w:val="clear" w:color="auto" w:fill="FFFF00"/>
        <w:tabs>
          <w:tab w:val="left" w:pos="426"/>
        </w:tabs>
        <w:jc w:val="both"/>
        <w:rPr>
          <w:sz w:val="22"/>
          <w:szCs w:val="22"/>
        </w:rPr>
      </w:pPr>
      <w:r w:rsidRPr="00AB2EF7">
        <w:rPr>
          <w:sz w:val="22"/>
          <w:szCs w:val="22"/>
          <w:highlight w:val="yellow"/>
        </w:rPr>
        <w:t xml:space="preserve">Esto significa que el </w:t>
      </w:r>
      <w:r w:rsidR="00DB19B3">
        <w:rPr>
          <w:sz w:val="22"/>
          <w:szCs w:val="22"/>
          <w:highlight w:val="yellow"/>
        </w:rPr>
        <w:t>contrato de servicios</w:t>
      </w:r>
      <w:r w:rsidR="00DB19B3" w:rsidRPr="00AB2EF7">
        <w:rPr>
          <w:sz w:val="22"/>
          <w:szCs w:val="22"/>
          <w:highlight w:val="yellow"/>
        </w:rPr>
        <w:t xml:space="preserve"> </w:t>
      </w:r>
      <w:r w:rsidRPr="00AB2EF7">
        <w:rPr>
          <w:sz w:val="22"/>
          <w:szCs w:val="22"/>
          <w:highlight w:val="yellow"/>
        </w:rPr>
        <w:t xml:space="preserve">a que se refiere el licitador podría haber comenzado  en cualquier momento del periodo indicado pero no tiene necesariamente que haber sido iniciado durante ese periodo. </w:t>
      </w:r>
      <w:r w:rsidRPr="00AB2EF7">
        <w:rPr>
          <w:sz w:val="22"/>
          <w:szCs w:val="22"/>
        </w:rPr>
        <w:t xml:space="preserve">Los licitadores podrán referirse bien a </w:t>
      </w:r>
      <w:r w:rsidR="00DB19B3">
        <w:rPr>
          <w:sz w:val="22"/>
          <w:szCs w:val="22"/>
          <w:highlight w:val="yellow"/>
        </w:rPr>
        <w:t>contratos de servicios</w:t>
      </w:r>
      <w:r w:rsidRPr="00AB2EF7">
        <w:rPr>
          <w:sz w:val="22"/>
          <w:szCs w:val="22"/>
        </w:rPr>
        <w:t xml:space="preserve"> finalizados en el periodo de referencia (aunque se hubiesen iniciado antes) o a </w:t>
      </w:r>
      <w:r w:rsidR="00DB19B3">
        <w:rPr>
          <w:sz w:val="22"/>
          <w:szCs w:val="22"/>
          <w:highlight w:val="yellow"/>
        </w:rPr>
        <w:t>contratos de servicios</w:t>
      </w:r>
      <w:r w:rsidRPr="00AB2EF7">
        <w:rPr>
          <w:sz w:val="22"/>
          <w:szCs w:val="22"/>
        </w:rPr>
        <w:t xml:space="preserve"> aún no finalizados. </w:t>
      </w:r>
      <w:r w:rsidR="00402F35">
        <w:rPr>
          <w:sz w:val="22"/>
          <w:szCs w:val="22"/>
        </w:rPr>
        <w:t>S</w:t>
      </w:r>
      <w:r w:rsidRPr="00AB2EF7">
        <w:rPr>
          <w:sz w:val="22"/>
          <w:szCs w:val="22"/>
        </w:rPr>
        <w:t>olo se tomará en consideración la parte que se haya realizado satisfactoriamente durante el periodo de referencia. Esta parte deberá contar con el apoyo de pruebas documentales (</w:t>
      </w:r>
      <w:r w:rsidR="00402F35" w:rsidRPr="002905C0">
        <w:rPr>
          <w:sz w:val="22"/>
        </w:rPr>
        <w:t>certificado de la entidad que ha adjudicado el contrato, prueba del pago</w:t>
      </w:r>
      <w:r w:rsidRPr="00AB2EF7">
        <w:rPr>
          <w:sz w:val="22"/>
          <w:szCs w:val="22"/>
        </w:rPr>
        <w:t xml:space="preserve">), incluyendo también su valor. Si un licitador ha ejecutado el </w:t>
      </w:r>
      <w:r w:rsidR="00DB19B3">
        <w:rPr>
          <w:sz w:val="22"/>
          <w:szCs w:val="22"/>
          <w:highlight w:val="yellow"/>
        </w:rPr>
        <w:t>contrato de servicios</w:t>
      </w:r>
      <w:r w:rsidRPr="00AB2EF7">
        <w:rPr>
          <w:sz w:val="22"/>
          <w:szCs w:val="22"/>
        </w:rPr>
        <w:t xml:space="preserve"> en un consorcio, el porcentaje que haya finalizado con éxito ha de quedar claro en las pruebas documentales, adjuntándose una descripción de la naturaleza de los servicios prestados en caso de que se hayan aplicado los </w:t>
      </w:r>
      <w:r w:rsidRPr="00AB2EF7">
        <w:rPr>
          <w:sz w:val="22"/>
          <w:szCs w:val="22"/>
        </w:rPr>
        <w:lastRenderedPageBreak/>
        <w:t>criterios de selección relativos a la pertinencia de la experiencia.</w:t>
      </w:r>
    </w:p>
    <w:p w:rsidR="006B534E" w:rsidRPr="00AB2EF7" w:rsidRDefault="006B534E" w:rsidP="006B534E">
      <w:pPr>
        <w:pStyle w:val="Blockquote"/>
        <w:tabs>
          <w:tab w:val="left" w:pos="426"/>
        </w:tabs>
        <w:ind w:firstLine="66"/>
        <w:jc w:val="both"/>
        <w:rPr>
          <w:sz w:val="22"/>
        </w:rPr>
      </w:pPr>
      <w:r w:rsidRPr="00AB2EF7">
        <w:rPr>
          <w:sz w:val="22"/>
          <w:highlight w:val="lightGray"/>
        </w:rPr>
        <w:t>Criterios para personas físicas y jurídicas:</w:t>
      </w:r>
      <w:r w:rsidRPr="00AB2EF7">
        <w:rPr>
          <w:sz w:val="22"/>
        </w:rPr>
        <w:t xml:space="preserve"> </w:t>
      </w:r>
    </w:p>
    <w:p w:rsidR="006B534E" w:rsidRPr="00AB2EF7" w:rsidRDefault="006B534E" w:rsidP="006B534E">
      <w:pPr>
        <w:pStyle w:val="Blockquote"/>
        <w:tabs>
          <w:tab w:val="left" w:pos="426"/>
        </w:tabs>
        <w:ind w:firstLine="66"/>
        <w:jc w:val="both"/>
        <w:rPr>
          <w:sz w:val="22"/>
        </w:rPr>
      </w:pPr>
      <w:r w:rsidRPr="00E73AAF">
        <w:rPr>
          <w:sz w:val="22"/>
          <w:szCs w:val="22"/>
          <w:highlight w:val="lightGray"/>
          <w:lang w:eastAsia="en-US" w:bidi="ar-SA"/>
        </w:rPr>
        <w:t>1-</w:t>
      </w:r>
      <w:r w:rsidRPr="00CF7CB8">
        <w:rPr>
          <w:sz w:val="22"/>
          <w:highlight w:val="yellow"/>
        </w:rPr>
        <w:t>&lt;</w:t>
      </w:r>
      <w:r w:rsidRPr="00AB2EF7">
        <w:rPr>
          <w:sz w:val="22"/>
          <w:highlight w:val="yellow"/>
        </w:rPr>
        <w:t>criterio de referencia</w:t>
      </w:r>
      <w:r w:rsidRPr="00CF7CB8">
        <w:rPr>
          <w:sz w:val="22"/>
          <w:highlight w:val="yellow"/>
        </w:rPr>
        <w:t>&gt;</w:t>
      </w:r>
    </w:p>
    <w:p w:rsidR="006B534E"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2</w:t>
      </w:r>
      <w:r w:rsidR="006B534E" w:rsidRPr="00E73AAF">
        <w:rPr>
          <w:sz w:val="22"/>
          <w:szCs w:val="22"/>
          <w:highlight w:val="lightGray"/>
          <w:lang w:eastAsia="en-US" w:bidi="ar-SA"/>
        </w:rPr>
        <w:t>-</w:t>
      </w:r>
      <w:r w:rsidR="006B534E" w:rsidRPr="00CF7CB8">
        <w:rPr>
          <w:sz w:val="22"/>
          <w:highlight w:val="yellow"/>
        </w:rPr>
        <w:t>&lt;</w:t>
      </w:r>
      <w:r w:rsidR="006B534E" w:rsidRPr="00AB2EF7">
        <w:rPr>
          <w:sz w:val="22"/>
          <w:highlight w:val="yellow"/>
        </w:rPr>
        <w:t xml:space="preserve">criterio de </w:t>
      </w:r>
      <w:r w:rsidR="006B534E" w:rsidRPr="00CF7CB8">
        <w:rPr>
          <w:sz w:val="22"/>
          <w:highlight w:val="yellow"/>
        </w:rPr>
        <w:t>referencia&gt;</w:t>
      </w:r>
    </w:p>
    <w:p w:rsidR="003947E7" w:rsidRPr="00AB2EF7" w:rsidRDefault="006B534E" w:rsidP="006B534E">
      <w:pPr>
        <w:pStyle w:val="Blockquote"/>
        <w:tabs>
          <w:tab w:val="left" w:pos="426"/>
        </w:tabs>
        <w:ind w:firstLine="66"/>
        <w:jc w:val="both"/>
        <w:rPr>
          <w:b/>
          <w:sz w:val="22"/>
          <w:szCs w:val="22"/>
        </w:rPr>
      </w:pPr>
      <w:r w:rsidRPr="00AB2EF7">
        <w:rPr>
          <w:sz w:val="22"/>
        </w:rPr>
        <w:t>&lt;</w:t>
      </w:r>
      <w:r w:rsidRPr="00AB2EF7">
        <w:rPr>
          <w:sz w:val="22"/>
          <w:highlight w:val="yellow"/>
        </w:rPr>
        <w:t>etc.</w:t>
      </w:r>
      <w:r w:rsidRPr="00AB2EF7">
        <w:rPr>
          <w:sz w:val="22"/>
        </w:rPr>
        <w:t>&gt;]</w:t>
      </w:r>
    </w:p>
    <w:p w:rsidR="00A43E7A" w:rsidRPr="00AB2EF7" w:rsidRDefault="006B534E" w:rsidP="008272C0">
      <w:pPr>
        <w:pStyle w:val="Blockquote"/>
        <w:tabs>
          <w:tab w:val="left" w:pos="426"/>
        </w:tabs>
        <w:ind w:hanging="76"/>
        <w:jc w:val="both"/>
        <w:rPr>
          <w:b/>
          <w:sz w:val="22"/>
          <w:szCs w:val="22"/>
        </w:rPr>
      </w:pPr>
      <w:r w:rsidRPr="00AB2EF7">
        <w:rPr>
          <w:b/>
          <w:sz w:val="22"/>
          <w:highlight w:val="yellow"/>
        </w:rPr>
        <w:t>[</w:t>
      </w:r>
      <w:r w:rsidR="00A43E7A" w:rsidRPr="00AB2EF7">
        <w:rPr>
          <w:b/>
          <w:sz w:val="22"/>
          <w:highlight w:val="yellow"/>
        </w:rPr>
        <w:t>Si los criterios aplicables a las personas físicas y jurídicas son diferentes</w:t>
      </w:r>
    </w:p>
    <w:p w:rsidR="00A43E7A" w:rsidRPr="001A2815" w:rsidRDefault="008272C0" w:rsidP="00AB2EF7">
      <w:pPr>
        <w:pStyle w:val="Blockquote"/>
        <w:shd w:val="clear" w:color="auto" w:fill="FFFF00"/>
        <w:tabs>
          <w:tab w:val="left" w:pos="426"/>
        </w:tabs>
        <w:jc w:val="both"/>
        <w:rPr>
          <w:b/>
          <w:sz w:val="22"/>
          <w:szCs w:val="22"/>
        </w:rPr>
      </w:pPr>
      <w:r w:rsidRPr="001A2815">
        <w:rPr>
          <w:b/>
          <w:sz w:val="22"/>
        </w:rPr>
        <w:t xml:space="preserve">Ejemplo de criterio técnico para las personas </w:t>
      </w:r>
      <w:r w:rsidRPr="001A2815">
        <w:rPr>
          <w:b/>
          <w:sz w:val="22"/>
          <w:u w:val="single"/>
        </w:rPr>
        <w:t>jurídicas</w:t>
      </w:r>
      <w:r w:rsidRPr="001A2815">
        <w:rPr>
          <w:b/>
          <w:sz w:val="22"/>
        </w:rPr>
        <w:t>:</w:t>
      </w:r>
      <w:r w:rsidR="00AB2EF7" w:rsidRPr="001A2815">
        <w:rPr>
          <w:b/>
          <w:sz w:val="22"/>
        </w:rPr>
        <w:t xml:space="preserve"> </w:t>
      </w:r>
      <w:r w:rsidR="00AB2EF7" w:rsidRPr="001A2815">
        <w:rPr>
          <w:sz w:val="22"/>
          <w:szCs w:val="22"/>
          <w:highlight w:val="yellow"/>
        </w:rPr>
        <w:t xml:space="preserve">véase </w:t>
      </w:r>
      <w:r w:rsidR="001A2815">
        <w:rPr>
          <w:sz w:val="22"/>
          <w:szCs w:val="22"/>
          <w:highlight w:val="yellow"/>
        </w:rPr>
        <w:t xml:space="preserve">más arriba </w:t>
      </w:r>
      <w:r w:rsidR="00AB2EF7" w:rsidRPr="001A2815">
        <w:rPr>
          <w:sz w:val="22"/>
          <w:szCs w:val="22"/>
          <w:highlight w:val="yellow"/>
        </w:rPr>
        <w:t>el ejemplo de criterio técnico aplicable tanto a las personas jurídicas como a las personas físicas.</w:t>
      </w:r>
    </w:p>
    <w:p w:rsidR="00A246D6" w:rsidRPr="001A2815" w:rsidRDefault="00A246D6" w:rsidP="00A246D6">
      <w:pPr>
        <w:pStyle w:val="Blockquote"/>
        <w:tabs>
          <w:tab w:val="left" w:pos="426"/>
        </w:tabs>
        <w:ind w:firstLine="66"/>
        <w:jc w:val="both"/>
        <w:rPr>
          <w:sz w:val="22"/>
        </w:rPr>
      </w:pPr>
      <w:r w:rsidRPr="001A2815">
        <w:rPr>
          <w:sz w:val="22"/>
          <w:highlight w:val="lightGray"/>
        </w:rPr>
        <w:t>Criterios para personas jurídicas:</w:t>
      </w:r>
      <w:r w:rsidRPr="001A2815">
        <w:rPr>
          <w:sz w:val="22"/>
        </w:rPr>
        <w:t xml:space="preserve"> </w:t>
      </w:r>
    </w:p>
    <w:p w:rsidR="00CF7CB8"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1-</w:t>
      </w:r>
      <w:r w:rsidRPr="00CF7CB8">
        <w:rPr>
          <w:sz w:val="22"/>
          <w:highlight w:val="yellow"/>
        </w:rPr>
        <w:t>&lt;</w:t>
      </w:r>
      <w:r w:rsidRPr="00AB2EF7">
        <w:rPr>
          <w:sz w:val="22"/>
          <w:highlight w:val="yellow"/>
        </w:rPr>
        <w:t>criterio de referencia</w:t>
      </w:r>
      <w:r w:rsidRPr="00CF7CB8">
        <w:rPr>
          <w:sz w:val="22"/>
          <w:highlight w:val="yellow"/>
        </w:rPr>
        <w:t>&gt;</w:t>
      </w:r>
    </w:p>
    <w:p w:rsidR="00CF7CB8"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2-</w:t>
      </w:r>
      <w:r w:rsidRPr="00CF7CB8">
        <w:rPr>
          <w:sz w:val="22"/>
          <w:highlight w:val="yellow"/>
        </w:rPr>
        <w:t>&lt;</w:t>
      </w:r>
      <w:r w:rsidRPr="00AB2EF7">
        <w:rPr>
          <w:sz w:val="22"/>
          <w:highlight w:val="yellow"/>
        </w:rPr>
        <w:t xml:space="preserve">criterio de </w:t>
      </w:r>
      <w:r w:rsidRPr="00CF7CB8">
        <w:rPr>
          <w:sz w:val="22"/>
          <w:highlight w:val="yellow"/>
        </w:rPr>
        <w:t>referencia&gt;</w:t>
      </w:r>
    </w:p>
    <w:p w:rsidR="00A43E7A" w:rsidRPr="00AB2EF7" w:rsidRDefault="00A246D6" w:rsidP="00A246D6">
      <w:pPr>
        <w:ind w:left="426"/>
        <w:rPr>
          <w:sz w:val="22"/>
          <w:szCs w:val="22"/>
        </w:rPr>
      </w:pPr>
      <w:r w:rsidRPr="00AB2EF7">
        <w:rPr>
          <w:sz w:val="22"/>
        </w:rPr>
        <w:t>&lt;</w:t>
      </w:r>
      <w:r w:rsidRPr="00AB2EF7">
        <w:rPr>
          <w:sz w:val="22"/>
          <w:highlight w:val="yellow"/>
        </w:rPr>
        <w:t>etc.</w:t>
      </w:r>
      <w:r w:rsidRPr="00AB2EF7">
        <w:rPr>
          <w:sz w:val="22"/>
        </w:rPr>
        <w:t>&gt;]</w:t>
      </w:r>
    </w:p>
    <w:p w:rsidR="004F4A09" w:rsidRPr="00AB2EF7" w:rsidRDefault="004F4A09" w:rsidP="00A43E7A">
      <w:pPr>
        <w:pStyle w:val="Blockquote"/>
        <w:shd w:val="clear" w:color="auto" w:fill="FFFF00"/>
        <w:tabs>
          <w:tab w:val="left" w:pos="426"/>
        </w:tabs>
        <w:jc w:val="both"/>
        <w:rPr>
          <w:b/>
          <w:sz w:val="22"/>
          <w:szCs w:val="22"/>
        </w:rPr>
      </w:pPr>
      <w:r w:rsidRPr="00AB2EF7">
        <w:rPr>
          <w:b/>
          <w:sz w:val="22"/>
        </w:rPr>
        <w:t xml:space="preserve">Ejemplo de criterio técnico para las personas </w:t>
      </w:r>
      <w:r w:rsidRPr="00AB2EF7">
        <w:rPr>
          <w:b/>
          <w:sz w:val="22"/>
          <w:u w:val="single"/>
        </w:rPr>
        <w:t>físicas</w:t>
      </w:r>
      <w:r w:rsidRPr="00AB2EF7">
        <w:rPr>
          <w:b/>
          <w:sz w:val="22"/>
        </w:rPr>
        <w:t>:</w:t>
      </w:r>
    </w:p>
    <w:p w:rsidR="004F4A09" w:rsidRPr="00AB2EF7" w:rsidRDefault="004F4A09" w:rsidP="004F34C4">
      <w:pPr>
        <w:pStyle w:val="Blockquote"/>
        <w:numPr>
          <w:ilvl w:val="0"/>
          <w:numId w:val="34"/>
        </w:numPr>
        <w:shd w:val="clear" w:color="auto" w:fill="FFFF00"/>
        <w:tabs>
          <w:tab w:val="clear" w:pos="360"/>
          <w:tab w:val="num" w:pos="720"/>
        </w:tabs>
        <w:ind w:left="720"/>
        <w:jc w:val="both"/>
        <w:rPr>
          <w:sz w:val="22"/>
          <w:szCs w:val="22"/>
        </w:rPr>
      </w:pPr>
      <w:r w:rsidRPr="00AB2EF7">
        <w:rPr>
          <w:sz w:val="22"/>
        </w:rPr>
        <w:t>el licitador ha trabajado satisfactoriamente</w:t>
      </w:r>
      <w:r w:rsidR="00A246D6" w:rsidRPr="00AB2EF7">
        <w:rPr>
          <w:sz w:val="22"/>
        </w:rPr>
        <w:t xml:space="preserve"> durante los últimos </w:t>
      </w:r>
      <w:r w:rsidR="001A2815">
        <w:rPr>
          <w:sz w:val="22"/>
        </w:rPr>
        <w:t>tres</w:t>
      </w:r>
      <w:r w:rsidR="00A246D6" w:rsidRPr="00AB2EF7">
        <w:rPr>
          <w:sz w:val="22"/>
        </w:rPr>
        <w:t xml:space="preserve"> años </w:t>
      </w:r>
      <w:r w:rsidRPr="00AB2EF7">
        <w:rPr>
          <w:sz w:val="22"/>
        </w:rPr>
        <w:t xml:space="preserve">en al menos </w:t>
      </w:r>
      <w:r w:rsidR="00A246D6" w:rsidRPr="00AB2EF7">
        <w:rPr>
          <w:sz w:val="22"/>
          <w:szCs w:val="22"/>
        </w:rPr>
        <w:t>&lt; inserte número &gt; proyecto[s]</w:t>
      </w:r>
      <w:r w:rsidRPr="00AB2EF7">
        <w:rPr>
          <w:sz w:val="22"/>
        </w:rPr>
        <w:t xml:space="preserve"> con un presupuesto como m</w:t>
      </w:r>
      <w:r w:rsidR="00A246D6" w:rsidRPr="00AB2EF7">
        <w:rPr>
          <w:sz w:val="22"/>
        </w:rPr>
        <w:t>ínimo igual al de este contrato</w:t>
      </w:r>
      <w:r w:rsidRPr="00AB2EF7">
        <w:rPr>
          <w:sz w:val="22"/>
        </w:rPr>
        <w:t xml:space="preserve"> en ámbitos relacionados con los de este.</w:t>
      </w:r>
    </w:p>
    <w:p w:rsidR="00A246D6" w:rsidRPr="00AB2EF7" w:rsidRDefault="00A246D6" w:rsidP="00A246D6">
      <w:pPr>
        <w:pStyle w:val="Blockquote"/>
        <w:ind w:left="709" w:hanging="283"/>
        <w:jc w:val="both"/>
        <w:rPr>
          <w:sz w:val="22"/>
        </w:rPr>
      </w:pPr>
      <w:r w:rsidRPr="00AB2EF7">
        <w:rPr>
          <w:sz w:val="22"/>
          <w:highlight w:val="lightGray"/>
        </w:rPr>
        <w:t>Criterios para personas físicas:</w:t>
      </w:r>
      <w:r w:rsidRPr="00AB2EF7">
        <w:rPr>
          <w:sz w:val="22"/>
        </w:rPr>
        <w:t xml:space="preserve"> </w:t>
      </w:r>
    </w:p>
    <w:p w:rsidR="00CF7CB8"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1-</w:t>
      </w:r>
      <w:r w:rsidRPr="00CF7CB8">
        <w:rPr>
          <w:sz w:val="22"/>
          <w:highlight w:val="yellow"/>
        </w:rPr>
        <w:t>&lt;</w:t>
      </w:r>
      <w:r w:rsidRPr="00AB2EF7">
        <w:rPr>
          <w:sz w:val="22"/>
          <w:highlight w:val="yellow"/>
        </w:rPr>
        <w:t>criterio de referencia</w:t>
      </w:r>
      <w:r w:rsidRPr="00CF7CB8">
        <w:rPr>
          <w:sz w:val="22"/>
          <w:highlight w:val="yellow"/>
        </w:rPr>
        <w:t>&gt;</w:t>
      </w:r>
    </w:p>
    <w:p w:rsidR="00CF7CB8"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2-</w:t>
      </w:r>
      <w:r w:rsidRPr="00CF7CB8">
        <w:rPr>
          <w:sz w:val="22"/>
          <w:highlight w:val="yellow"/>
        </w:rPr>
        <w:t>&lt;</w:t>
      </w:r>
      <w:r w:rsidRPr="00AB2EF7">
        <w:rPr>
          <w:sz w:val="22"/>
          <w:highlight w:val="yellow"/>
        </w:rPr>
        <w:t xml:space="preserve">criterio de </w:t>
      </w:r>
      <w:r w:rsidRPr="00CF7CB8">
        <w:rPr>
          <w:sz w:val="22"/>
          <w:highlight w:val="yellow"/>
        </w:rPr>
        <w:t>referencia&gt;</w:t>
      </w:r>
    </w:p>
    <w:p w:rsidR="006F5FD0" w:rsidRPr="00AB2EF7" w:rsidRDefault="003F2A30" w:rsidP="00A246D6">
      <w:pPr>
        <w:pStyle w:val="Blockquote"/>
        <w:ind w:left="709" w:hanging="283"/>
        <w:jc w:val="both"/>
        <w:rPr>
          <w:sz w:val="22"/>
          <w:szCs w:val="22"/>
        </w:rPr>
      </w:pPr>
      <w:r w:rsidRPr="00E73AAF">
        <w:rPr>
          <w:sz w:val="22"/>
          <w:szCs w:val="22"/>
        </w:rPr>
        <w:t>&lt;</w:t>
      </w:r>
      <w:r w:rsidRPr="00E73AAF">
        <w:rPr>
          <w:sz w:val="22"/>
          <w:szCs w:val="22"/>
          <w:highlight w:val="yellow"/>
        </w:rPr>
        <w:t>etc.</w:t>
      </w:r>
      <w:r w:rsidRPr="00E73AAF">
        <w:rPr>
          <w:sz w:val="22"/>
          <w:szCs w:val="22"/>
        </w:rPr>
        <w:t>&gt;]</w:t>
      </w:r>
    </w:p>
    <w:p w:rsidR="004F00C7" w:rsidRPr="00AB2EF7" w:rsidRDefault="004F00C7" w:rsidP="007121FB">
      <w:pPr>
        <w:pStyle w:val="Blockquote"/>
        <w:jc w:val="both"/>
        <w:rPr>
          <w:sz w:val="22"/>
          <w:szCs w:val="22"/>
        </w:rPr>
      </w:pPr>
      <w:r w:rsidRPr="00AB2EF7">
        <w:rPr>
          <w:sz w:val="22"/>
        </w:rPr>
        <w:t xml:space="preserve">La experiencia previa que haya resultado en un incumplimiento del </w:t>
      </w:r>
      <w:r w:rsidR="00A246D6" w:rsidRPr="00AB2EF7">
        <w:rPr>
          <w:sz w:val="22"/>
        </w:rPr>
        <w:t>contrato</w:t>
      </w:r>
      <w:r w:rsidRPr="00AB2EF7">
        <w:rPr>
          <w:sz w:val="22"/>
        </w:rPr>
        <w:t xml:space="preserve"> y en su resolución por el Órgano de Contratación no podrá utilizarse como referencia. Esto también se aplicará a la experiencia previa de expertos en el marco de un contrato de servicios basado en honorarios.</w:t>
      </w:r>
    </w:p>
    <w:p w:rsidR="007121FB" w:rsidRPr="00A9571D" w:rsidRDefault="005B4F80" w:rsidP="00A9571D">
      <w:pPr>
        <w:pStyle w:val="Blockquote"/>
        <w:jc w:val="both"/>
        <w:rPr>
          <w:sz w:val="22"/>
        </w:rPr>
      </w:pPr>
      <w:r w:rsidRPr="00AB2EF7">
        <w:rPr>
          <w:sz w:val="22"/>
        </w:rPr>
        <w:t xml:space="preserve">Si procede y para un contrato concreto, un operador económico podrá recurrir a la capacidad de otras entidades, con independencia de cuál sea la naturaleza jurídica de sus vínculos con ellas. Deberá en tal caso probar al Órgano de Contratación que tiene a su disposición los recursos necesarios para ejecutar el </w:t>
      </w:r>
      <w:r w:rsidR="00A246D6" w:rsidRPr="00AB2EF7">
        <w:rPr>
          <w:sz w:val="22"/>
        </w:rPr>
        <w:t>contrato</w:t>
      </w:r>
      <w:r w:rsidRPr="00AB2EF7">
        <w:rPr>
          <w:sz w:val="22"/>
        </w:rPr>
        <w:t xml:space="preserve"> obteniendo el compromiso por parte de dichas entidades </w:t>
      </w:r>
      <w:r w:rsidR="00271370" w:rsidRPr="00AB2EF7">
        <w:rPr>
          <w:sz w:val="22"/>
        </w:rPr>
        <w:t>de</w:t>
      </w:r>
      <w:r w:rsidRPr="00AB2EF7">
        <w:rPr>
          <w:sz w:val="22"/>
        </w:rPr>
        <w:t xml:space="preserve"> poner tales recursos a su disposición. </w:t>
      </w:r>
      <w:r w:rsidR="00AB2EF7" w:rsidRPr="00AB2EF7">
        <w:rPr>
          <w:sz w:val="22"/>
          <w:szCs w:val="22"/>
        </w:rPr>
        <w:t>Estas entidades, por ejemplo la matriz del operador económico, debe</w:t>
      </w:r>
      <w:r w:rsidR="00173349">
        <w:rPr>
          <w:sz w:val="22"/>
          <w:szCs w:val="22"/>
        </w:rPr>
        <w:t>rá</w:t>
      </w:r>
      <w:r w:rsidR="00AB2EF7" w:rsidRPr="00AB2EF7">
        <w:rPr>
          <w:sz w:val="22"/>
          <w:szCs w:val="22"/>
        </w:rPr>
        <w:t xml:space="preserve">n respetar las mismas normas de elegibilidad, </w:t>
      </w:r>
      <w:r w:rsidR="00AB2EF7" w:rsidRPr="004732A8">
        <w:rPr>
          <w:sz w:val="22"/>
          <w:szCs w:val="22"/>
        </w:rPr>
        <w:noBreakHyphen/>
        <w:t>en particular, las de la nacionalidad</w:t>
      </w:r>
      <w:r w:rsidR="00AB2EF7" w:rsidRPr="004732A8">
        <w:rPr>
          <w:sz w:val="22"/>
          <w:szCs w:val="22"/>
        </w:rPr>
        <w:noBreakHyphen/>
        <w:t xml:space="preserve">, y deberán cumplir los criterios de selección </w:t>
      </w:r>
      <w:r w:rsidR="00173349">
        <w:rPr>
          <w:sz w:val="22"/>
          <w:szCs w:val="22"/>
        </w:rPr>
        <w:t xml:space="preserve">por los </w:t>
      </w:r>
      <w:r w:rsidR="00AB2EF7" w:rsidRPr="004732A8">
        <w:rPr>
          <w:sz w:val="22"/>
          <w:szCs w:val="22"/>
        </w:rPr>
        <w:t>que el operador económico</w:t>
      </w:r>
      <w:r w:rsidR="00173349">
        <w:rPr>
          <w:sz w:val="22"/>
          <w:szCs w:val="22"/>
        </w:rPr>
        <w:t xml:space="preserve"> recurre a ellas</w:t>
      </w:r>
      <w:r w:rsidR="00AB2EF7" w:rsidRPr="004732A8">
        <w:rPr>
          <w:sz w:val="22"/>
          <w:szCs w:val="22"/>
        </w:rPr>
        <w:t xml:space="preserve">. </w:t>
      </w:r>
      <w:r w:rsidR="00A9571D" w:rsidRPr="00A9571D">
        <w:rPr>
          <w:rFonts w:ascii="Tahoma" w:hAnsi="Tahoma" w:cs="Tahoma"/>
          <w:sz w:val="22"/>
          <w:szCs w:val="22"/>
        </w:rPr>
        <w:t>﻿</w:t>
      </w:r>
      <w:r w:rsidR="00A9571D" w:rsidRPr="00A9571D">
        <w:rPr>
          <w:sz w:val="22"/>
          <w:szCs w:val="22"/>
        </w:rPr>
        <w:t xml:space="preserve">Además, los datos de esta tercera entidad relativos a los criterios de selección relevantes deben ser incluidos en la oferta en un documento separado. </w:t>
      </w:r>
      <w:r w:rsidR="00393804">
        <w:rPr>
          <w:sz w:val="22"/>
          <w:szCs w:val="22"/>
        </w:rPr>
        <w:t xml:space="preserve">Se deberá aportar también evidencia sobre la capacidad </w:t>
      </w:r>
      <w:r w:rsidR="005151EF">
        <w:rPr>
          <w:sz w:val="22"/>
          <w:szCs w:val="22"/>
        </w:rPr>
        <w:t>cuando así lo solicite el Ó</w:t>
      </w:r>
      <w:r w:rsidR="005151EF" w:rsidRPr="00A9571D">
        <w:rPr>
          <w:sz w:val="22"/>
          <w:szCs w:val="22"/>
        </w:rPr>
        <w:t>rgano</w:t>
      </w:r>
      <w:r w:rsidR="005151EF">
        <w:rPr>
          <w:sz w:val="22"/>
          <w:szCs w:val="22"/>
        </w:rPr>
        <w:t xml:space="preserve"> de C</w:t>
      </w:r>
      <w:r w:rsidR="00A9571D" w:rsidRPr="00A9571D">
        <w:rPr>
          <w:sz w:val="22"/>
          <w:szCs w:val="22"/>
        </w:rPr>
        <w:t>ontratación.</w:t>
      </w:r>
      <w:r w:rsidR="00A9571D">
        <w:rPr>
          <w:sz w:val="22"/>
          <w:szCs w:val="22"/>
        </w:rPr>
        <w:t xml:space="preserve"> </w:t>
      </w:r>
      <w:r w:rsidR="00AB2EF7" w:rsidRPr="004732A8">
        <w:rPr>
          <w:sz w:val="22"/>
          <w:szCs w:val="22"/>
        </w:rPr>
        <w:t>Por lo que se refiere a los criterios técnicos y profesionales, los operadores económicos únicamente podrán recurrir a las capacidades de otras entidades si estas van a ejecutar l</w:t>
      </w:r>
      <w:r w:rsidR="00A9571D">
        <w:rPr>
          <w:sz w:val="22"/>
          <w:szCs w:val="22"/>
        </w:rPr>
        <w:t>os</w:t>
      </w:r>
      <w:r w:rsidR="00AB2EF7" w:rsidRPr="004732A8">
        <w:rPr>
          <w:sz w:val="22"/>
          <w:szCs w:val="22"/>
        </w:rPr>
        <w:t xml:space="preserve"> servicios para los cuales son necesarias dichas capacidades. Por lo que se refiere a los criterios económicos y financieros, las entidades a cuya capacidad va a recurrir el licitador se convierten en responsables solidari</w:t>
      </w:r>
      <w:r w:rsidR="001A2815" w:rsidRPr="004732A8">
        <w:rPr>
          <w:sz w:val="22"/>
          <w:szCs w:val="22"/>
        </w:rPr>
        <w:t>a</w:t>
      </w:r>
      <w:r w:rsidR="00AB2EF7" w:rsidRPr="004732A8">
        <w:rPr>
          <w:sz w:val="22"/>
          <w:szCs w:val="22"/>
        </w:rPr>
        <w:t>s de la ejecución del contrato.</w:t>
      </w:r>
    </w:p>
    <w:p w:rsidR="006F5FD0" w:rsidRPr="004732A8" w:rsidRDefault="00994EA3" w:rsidP="00584BF4">
      <w:pPr>
        <w:ind w:left="709" w:hanging="349"/>
        <w:outlineLvl w:val="0"/>
        <w:rPr>
          <w:sz w:val="22"/>
          <w:szCs w:val="22"/>
        </w:rPr>
      </w:pPr>
      <w:r w:rsidRPr="004732A8">
        <w:rPr>
          <w:rStyle w:val="Strong"/>
          <w:sz w:val="22"/>
        </w:rPr>
        <w:t xml:space="preserve">17. </w:t>
      </w:r>
      <w:r w:rsidRPr="004732A8">
        <w:tab/>
      </w:r>
      <w:r w:rsidRPr="004732A8">
        <w:rPr>
          <w:rStyle w:val="Strong"/>
          <w:sz w:val="22"/>
        </w:rPr>
        <w:t>Criterios de adjudicación</w:t>
      </w:r>
    </w:p>
    <w:p w:rsidR="006F5FD0" w:rsidRPr="004732A8" w:rsidRDefault="00AB2EF7">
      <w:pPr>
        <w:pStyle w:val="Blockquote"/>
        <w:jc w:val="both"/>
        <w:rPr>
          <w:sz w:val="22"/>
          <w:szCs w:val="22"/>
        </w:rPr>
      </w:pPr>
      <w:r w:rsidRPr="004732A8">
        <w:rPr>
          <w:sz w:val="22"/>
          <w:szCs w:val="22"/>
        </w:rPr>
        <w:t>Mejor relación calidad-precio.</w:t>
      </w:r>
    </w:p>
    <w:p w:rsidR="006F5FD0" w:rsidRPr="00AB2EF7" w:rsidRDefault="00983763">
      <w:pPr>
        <w:rPr>
          <w:sz w:val="22"/>
          <w:szCs w:val="22"/>
        </w:rPr>
      </w:pPr>
      <w:r>
        <w:rPr>
          <w:noProof/>
          <w:snapToGrid/>
          <w:sz w:val="22"/>
          <w:szCs w:val="22"/>
          <w:lang w:val="fr-BE" w:eastAsia="fr-BE" w:bidi="ar-SA"/>
        </w:rPr>
        <mc:AlternateContent>
          <mc:Choice Requires="wps">
            <w:drawing>
              <wp:anchor distT="0" distB="0" distL="114300" distR="114300" simplePos="0" relativeHeight="251659776"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06E83"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yU1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1GVvvvwrdR5aDPO4LzNLwDQX1Bj8nf&#10;BAZNBwpB3diYPx/Sh9V8Nc9H+WS2GuVpVY0+rZf5aLbO7qfVXbVcVtmvEDLLi1YwxlXQ6DIkWf53&#10;TTiM67m9r2NyrUZyi35mfgSxQMAL6dhUoY/OHbnT7LS1l2aDuYjGwwyHwXt7hv3bP83iN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DMOyU1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AB2EF7" w:rsidRDefault="00994EA3">
      <w:pPr>
        <w:keepNext/>
        <w:jc w:val="center"/>
        <w:rPr>
          <w:sz w:val="28"/>
          <w:szCs w:val="28"/>
        </w:rPr>
      </w:pPr>
      <w:r w:rsidRPr="00AB2EF7">
        <w:rPr>
          <w:rStyle w:val="Strong"/>
          <w:sz w:val="28"/>
        </w:rPr>
        <w:lastRenderedPageBreak/>
        <w:t>PRESENTACIÓN DE OFERTAS</w:t>
      </w:r>
    </w:p>
    <w:p w:rsidR="006F5FD0" w:rsidRPr="00AB2EF7" w:rsidRDefault="00994EA3" w:rsidP="00584BF4">
      <w:pPr>
        <w:keepNext/>
        <w:ind w:left="709" w:hanging="352"/>
        <w:outlineLvl w:val="0"/>
        <w:rPr>
          <w:sz w:val="22"/>
          <w:szCs w:val="22"/>
        </w:rPr>
      </w:pPr>
      <w:r w:rsidRPr="00AB2EF7">
        <w:rPr>
          <w:rStyle w:val="Strong"/>
          <w:sz w:val="22"/>
        </w:rPr>
        <w:t xml:space="preserve">18. </w:t>
      </w:r>
      <w:r w:rsidRPr="00AB2EF7">
        <w:tab/>
      </w:r>
      <w:r w:rsidRPr="00AB2EF7">
        <w:rPr>
          <w:rStyle w:val="Strong"/>
          <w:sz w:val="22"/>
        </w:rPr>
        <w:t xml:space="preserve">Plazo de </w:t>
      </w:r>
      <w:r w:rsidR="00AB320D">
        <w:rPr>
          <w:rStyle w:val="Strong"/>
          <w:sz w:val="22"/>
        </w:rPr>
        <w:t xml:space="preserve">presentación </w:t>
      </w:r>
      <w:r w:rsidRPr="00AB2EF7">
        <w:rPr>
          <w:rStyle w:val="Strong"/>
          <w:sz w:val="22"/>
        </w:rPr>
        <w:t>de las ofertas</w:t>
      </w:r>
    </w:p>
    <w:p w:rsidR="006F5FD0" w:rsidRPr="00AB2EF7" w:rsidRDefault="00582301">
      <w:pPr>
        <w:pStyle w:val="Blockquote"/>
        <w:jc w:val="both"/>
        <w:rPr>
          <w:i/>
          <w:sz w:val="22"/>
          <w:szCs w:val="22"/>
        </w:rPr>
      </w:pPr>
      <w:r>
        <w:rPr>
          <w:rStyle w:val="Emphasis"/>
          <w:i w:val="0"/>
          <w:sz w:val="22"/>
        </w:rPr>
        <w:t xml:space="preserve">El plazo </w:t>
      </w:r>
      <w:r w:rsidR="00994EA3" w:rsidRPr="00AB2EF7">
        <w:rPr>
          <w:rStyle w:val="Emphasis"/>
          <w:i w:val="0"/>
          <w:sz w:val="22"/>
        </w:rPr>
        <w:t xml:space="preserve">para la </w:t>
      </w:r>
      <w:r w:rsidR="00AB320D">
        <w:rPr>
          <w:rStyle w:val="Emphasis"/>
          <w:i w:val="0"/>
          <w:sz w:val="22"/>
        </w:rPr>
        <w:t>presentación</w:t>
      </w:r>
      <w:r w:rsidR="00994EA3" w:rsidRPr="00AB2EF7">
        <w:rPr>
          <w:rStyle w:val="Emphasis"/>
          <w:i w:val="0"/>
          <w:sz w:val="22"/>
        </w:rPr>
        <w:t xml:space="preserve"> de las ofertas se indica en el punto</w:t>
      </w:r>
      <w:r w:rsidR="00AE3382" w:rsidRPr="00AB2EF7">
        <w:rPr>
          <w:rStyle w:val="Emphasis"/>
          <w:i w:val="0"/>
          <w:sz w:val="22"/>
        </w:rPr>
        <w:t xml:space="preserve"> </w:t>
      </w:r>
      <w:r w:rsidR="00994EA3" w:rsidRPr="00AB2EF7">
        <w:rPr>
          <w:rStyle w:val="Emphasis"/>
          <w:i w:val="0"/>
          <w:sz w:val="22"/>
        </w:rPr>
        <w:t xml:space="preserve">8 de las </w:t>
      </w:r>
      <w:r w:rsidR="00173349">
        <w:rPr>
          <w:rStyle w:val="Emphasis"/>
          <w:i w:val="0"/>
          <w:sz w:val="22"/>
        </w:rPr>
        <w:t>i</w:t>
      </w:r>
      <w:r w:rsidR="00994EA3" w:rsidRPr="00AB2EF7">
        <w:rPr>
          <w:rStyle w:val="Emphasis"/>
          <w:i w:val="0"/>
          <w:sz w:val="22"/>
        </w:rPr>
        <w:t xml:space="preserve">nstrucciones para los </w:t>
      </w:r>
      <w:r w:rsidR="00271370" w:rsidRPr="00AB2EF7">
        <w:rPr>
          <w:rStyle w:val="Emphasis"/>
          <w:i w:val="0"/>
          <w:sz w:val="22"/>
        </w:rPr>
        <w:t>l</w:t>
      </w:r>
      <w:r w:rsidR="00994EA3" w:rsidRPr="00AB2EF7">
        <w:rPr>
          <w:rStyle w:val="Emphasis"/>
          <w:i w:val="0"/>
          <w:sz w:val="22"/>
        </w:rPr>
        <w:t>icitadores.</w:t>
      </w:r>
      <w:r w:rsidR="00AE3382" w:rsidRPr="00AB2EF7">
        <w:rPr>
          <w:rStyle w:val="Emphasis"/>
          <w:i w:val="0"/>
          <w:sz w:val="22"/>
        </w:rPr>
        <w:t xml:space="preserve"> </w:t>
      </w:r>
    </w:p>
    <w:p w:rsidR="006F5FD0" w:rsidRPr="00AB2EF7" w:rsidRDefault="00994EA3" w:rsidP="00584BF4">
      <w:pPr>
        <w:ind w:left="709" w:hanging="349"/>
        <w:outlineLvl w:val="0"/>
        <w:rPr>
          <w:sz w:val="22"/>
          <w:szCs w:val="22"/>
        </w:rPr>
      </w:pPr>
      <w:r w:rsidRPr="00AB2EF7">
        <w:rPr>
          <w:rStyle w:val="Strong"/>
          <w:sz w:val="22"/>
        </w:rPr>
        <w:t xml:space="preserve">19. </w:t>
      </w:r>
      <w:r w:rsidRPr="00AB2EF7">
        <w:tab/>
      </w:r>
      <w:r w:rsidRPr="00AB2EF7">
        <w:rPr>
          <w:rStyle w:val="Strong"/>
          <w:sz w:val="22"/>
        </w:rPr>
        <w:t>Formato de la oferta y datos que se deben proporcionar</w:t>
      </w:r>
    </w:p>
    <w:p w:rsidR="006F5FD0" w:rsidRPr="00AB2EF7" w:rsidRDefault="00994EA3" w:rsidP="00B112A1">
      <w:pPr>
        <w:pStyle w:val="Blockquote"/>
        <w:jc w:val="both"/>
        <w:rPr>
          <w:sz w:val="22"/>
          <w:szCs w:val="22"/>
        </w:rPr>
      </w:pPr>
      <w:r w:rsidRPr="00AB2EF7">
        <w:rPr>
          <w:rStyle w:val="Strong"/>
          <w:b w:val="0"/>
          <w:sz w:val="22"/>
          <w:szCs w:val="22"/>
        </w:rPr>
        <w:t>Las ofertas deberán presentarse utilizando el formulario normalizado</w:t>
      </w:r>
      <w:r w:rsidRPr="00AB2EF7">
        <w:rPr>
          <w:sz w:val="22"/>
          <w:szCs w:val="22"/>
        </w:rPr>
        <w:t xml:space="preserve"> para los procedimientos </w:t>
      </w:r>
      <w:r w:rsidR="00173349">
        <w:rPr>
          <w:sz w:val="22"/>
          <w:szCs w:val="22"/>
        </w:rPr>
        <w:t>simplificados</w:t>
      </w:r>
      <w:r w:rsidRPr="00AB2EF7">
        <w:rPr>
          <w:sz w:val="22"/>
          <w:szCs w:val="22"/>
        </w:rPr>
        <w:t xml:space="preserve">, respetando escrupulosamente su formato </w:t>
      </w:r>
      <w:r w:rsidR="001A2815">
        <w:rPr>
          <w:sz w:val="22"/>
          <w:szCs w:val="22"/>
        </w:rPr>
        <w:t>e</w:t>
      </w:r>
      <w:r w:rsidRPr="00AB2EF7">
        <w:rPr>
          <w:sz w:val="22"/>
          <w:szCs w:val="22"/>
        </w:rPr>
        <w:t xml:space="preserve"> instrucciones. El formulario de </w:t>
      </w:r>
      <w:r w:rsidR="00271370" w:rsidRPr="00AB2EF7">
        <w:rPr>
          <w:sz w:val="22"/>
          <w:szCs w:val="22"/>
        </w:rPr>
        <w:t xml:space="preserve">presentación de </w:t>
      </w:r>
      <w:r w:rsidR="00B752C1" w:rsidRPr="00AB2EF7">
        <w:rPr>
          <w:sz w:val="22"/>
          <w:szCs w:val="22"/>
        </w:rPr>
        <w:t>la oferta</w:t>
      </w:r>
      <w:r w:rsidRPr="00AB2EF7">
        <w:rPr>
          <w:sz w:val="22"/>
          <w:szCs w:val="22"/>
        </w:rPr>
        <w:t xml:space="preserve"> podrá obtenerse en la siguiente dirección de </w:t>
      </w:r>
      <w:r w:rsidR="00173349">
        <w:rPr>
          <w:sz w:val="22"/>
          <w:szCs w:val="22"/>
        </w:rPr>
        <w:t>i</w:t>
      </w:r>
      <w:r w:rsidRPr="00AB2EF7">
        <w:rPr>
          <w:sz w:val="22"/>
          <w:szCs w:val="22"/>
        </w:rPr>
        <w:t xml:space="preserve">nternet: </w:t>
      </w:r>
      <w:hyperlink r:id="rId8" w:history="1">
        <w:r w:rsidR="00AB2EF7" w:rsidRPr="00AB2EF7">
          <w:rPr>
            <w:rStyle w:val="Hyperlink"/>
            <w:sz w:val="22"/>
            <w:szCs w:val="22"/>
          </w:rPr>
          <w:t>http://ec.europa.eu/europeaid/prag/annexes.do?group=B</w:t>
        </w:r>
      </w:hyperlink>
      <w:r w:rsidRPr="00AB2EF7">
        <w:rPr>
          <w:sz w:val="22"/>
          <w:szCs w:val="22"/>
        </w:rPr>
        <w:t xml:space="preserve">, en el archivo comprimido llamado </w:t>
      </w:r>
      <w:r w:rsidR="00271370" w:rsidRPr="00AB2EF7">
        <w:rPr>
          <w:sz w:val="22"/>
          <w:szCs w:val="22"/>
        </w:rPr>
        <w:t>«e</w:t>
      </w:r>
      <w:r w:rsidRPr="00AB2EF7">
        <w:rPr>
          <w:sz w:val="22"/>
          <w:szCs w:val="22"/>
        </w:rPr>
        <w:t xml:space="preserve">xpediente </w:t>
      </w:r>
      <w:r w:rsidR="00271370" w:rsidRPr="00AB2EF7">
        <w:rPr>
          <w:sz w:val="22"/>
          <w:szCs w:val="22"/>
        </w:rPr>
        <w:t>s</w:t>
      </w:r>
      <w:r w:rsidRPr="00AB2EF7">
        <w:rPr>
          <w:sz w:val="22"/>
          <w:szCs w:val="22"/>
        </w:rPr>
        <w:t xml:space="preserve">implificado de </w:t>
      </w:r>
      <w:r w:rsidR="00271370" w:rsidRPr="00AB2EF7">
        <w:rPr>
          <w:sz w:val="22"/>
          <w:szCs w:val="22"/>
        </w:rPr>
        <w:t>l</w:t>
      </w:r>
      <w:r w:rsidRPr="00AB2EF7">
        <w:rPr>
          <w:sz w:val="22"/>
          <w:szCs w:val="22"/>
        </w:rPr>
        <w:t>icitación</w:t>
      </w:r>
      <w:r w:rsidR="00271370" w:rsidRPr="00AB2EF7">
        <w:rPr>
          <w:sz w:val="22"/>
          <w:szCs w:val="22"/>
        </w:rPr>
        <w:t>»</w:t>
      </w:r>
      <w:r w:rsidR="00AB2EF7" w:rsidRPr="00AB2EF7">
        <w:rPr>
          <w:sz w:val="22"/>
          <w:szCs w:val="22"/>
        </w:rPr>
        <w:t>.</w:t>
      </w:r>
    </w:p>
    <w:p w:rsidR="00AB2EF7" w:rsidRPr="001A2815" w:rsidRDefault="00AB2EF7" w:rsidP="00B112A1">
      <w:pPr>
        <w:pStyle w:val="Blockquote"/>
        <w:jc w:val="both"/>
        <w:rPr>
          <w:sz w:val="22"/>
          <w:szCs w:val="22"/>
        </w:rPr>
      </w:pPr>
      <w:r w:rsidRPr="001A2815">
        <w:rPr>
          <w:sz w:val="22"/>
          <w:szCs w:val="22"/>
        </w:rPr>
        <w:t>La solicitud deberá ir acompañada de una declaración jurada sobre los criterios de exclusión y selección, utilizando el modelo disponible en la siguiente dirección de Internet:</w:t>
      </w:r>
    </w:p>
    <w:p w:rsidR="00AB2EF7" w:rsidRPr="00AB2EF7" w:rsidRDefault="00256DBF" w:rsidP="00B112A1">
      <w:pPr>
        <w:pStyle w:val="Blockquote"/>
        <w:jc w:val="both"/>
        <w:rPr>
          <w:sz w:val="22"/>
          <w:szCs w:val="22"/>
        </w:rPr>
      </w:pPr>
      <w:hyperlink r:id="rId9" w:history="1">
        <w:r w:rsidR="007508E6" w:rsidRPr="007508E6">
          <w:rPr>
            <w:rStyle w:val="Hyperlink"/>
            <w:sz w:val="22"/>
            <w:szCs w:val="22"/>
          </w:rPr>
          <w:t>http://ec.europa.eu/europeaid/prag/annexes.do?chapterTitleCode=A</w:t>
        </w:r>
      </w:hyperlink>
    </w:p>
    <w:p w:rsidR="006F5FD0" w:rsidRPr="001A2815" w:rsidRDefault="006F5FD0">
      <w:pPr>
        <w:pStyle w:val="Blockquote"/>
        <w:jc w:val="both"/>
        <w:rPr>
          <w:sz w:val="22"/>
          <w:szCs w:val="22"/>
        </w:rPr>
      </w:pPr>
      <w:r w:rsidRPr="001A2815">
        <w:rPr>
          <w:sz w:val="22"/>
        </w:rPr>
        <w:t xml:space="preserve">No se tendrá en cuenta ninguna documentación complementaria (folleto, carta, etc.) que acompañe a la </w:t>
      </w:r>
      <w:r w:rsidR="00AB2EF7" w:rsidRPr="001A2815">
        <w:rPr>
          <w:sz w:val="22"/>
        </w:rPr>
        <w:t>oferta</w:t>
      </w:r>
      <w:r w:rsidRPr="001A2815">
        <w:rPr>
          <w:sz w:val="22"/>
        </w:rPr>
        <w:t>.</w:t>
      </w:r>
    </w:p>
    <w:p w:rsidR="006F5FD0" w:rsidRPr="00AB2EF7" w:rsidRDefault="006F5FD0" w:rsidP="00584BF4">
      <w:pPr>
        <w:ind w:left="709" w:hanging="349"/>
        <w:outlineLvl w:val="0"/>
        <w:rPr>
          <w:sz w:val="22"/>
          <w:szCs w:val="22"/>
        </w:rPr>
      </w:pPr>
      <w:r w:rsidRPr="00AB2EF7">
        <w:rPr>
          <w:rStyle w:val="Strong"/>
          <w:sz w:val="22"/>
        </w:rPr>
        <w:t xml:space="preserve">20. </w:t>
      </w:r>
      <w:r w:rsidRPr="00AB2EF7">
        <w:tab/>
      </w:r>
      <w:r w:rsidRPr="00AB2EF7">
        <w:rPr>
          <w:rStyle w:val="Strong"/>
          <w:sz w:val="22"/>
        </w:rPr>
        <w:t>Modo de presentación de las ofertas</w:t>
      </w:r>
    </w:p>
    <w:p w:rsidR="006F5FD0" w:rsidRPr="00AB2EF7" w:rsidRDefault="006714ED" w:rsidP="00C147B2">
      <w:pPr>
        <w:pStyle w:val="Blockquote"/>
        <w:jc w:val="both"/>
        <w:rPr>
          <w:sz w:val="22"/>
          <w:szCs w:val="22"/>
        </w:rPr>
      </w:pPr>
      <w:r w:rsidRPr="00AB2EF7">
        <w:rPr>
          <w:sz w:val="22"/>
        </w:rPr>
        <w:t>Las ofertas deberán presentarse al Órgano de Contratación exclusivamente en español, utilizando los medios indicados en el punto</w:t>
      </w:r>
      <w:r w:rsidR="00AE3382" w:rsidRPr="00AB2EF7">
        <w:rPr>
          <w:sz w:val="22"/>
        </w:rPr>
        <w:t xml:space="preserve"> </w:t>
      </w:r>
      <w:r w:rsidRPr="00AB2EF7">
        <w:rPr>
          <w:sz w:val="22"/>
        </w:rPr>
        <w:t xml:space="preserve">8 de las </w:t>
      </w:r>
      <w:r w:rsidR="00173349">
        <w:rPr>
          <w:sz w:val="22"/>
        </w:rPr>
        <w:t>i</w:t>
      </w:r>
      <w:r w:rsidRPr="00AB2EF7">
        <w:rPr>
          <w:sz w:val="22"/>
        </w:rPr>
        <w:t xml:space="preserve">nstrucciones para los </w:t>
      </w:r>
      <w:r w:rsidR="00271370" w:rsidRPr="00AB2EF7">
        <w:rPr>
          <w:sz w:val="22"/>
        </w:rPr>
        <w:t>l</w:t>
      </w:r>
      <w:r w:rsidRPr="00AB2EF7">
        <w:rPr>
          <w:sz w:val="22"/>
        </w:rPr>
        <w:t>icitadores.</w:t>
      </w:r>
      <w:r w:rsidR="00C555FD" w:rsidRPr="00AB2EF7">
        <w:rPr>
          <w:sz w:val="22"/>
        </w:rPr>
        <w:t xml:space="preserve"> </w:t>
      </w:r>
    </w:p>
    <w:p w:rsidR="00EF03C9" w:rsidRPr="00AB2EF7" w:rsidRDefault="006714ED">
      <w:pPr>
        <w:pStyle w:val="Blockquote"/>
        <w:jc w:val="both"/>
        <w:rPr>
          <w:rStyle w:val="Strong"/>
          <w:b w:val="0"/>
          <w:sz w:val="22"/>
        </w:rPr>
      </w:pPr>
      <w:r w:rsidRPr="00AB2EF7">
        <w:rPr>
          <w:rStyle w:val="Strong"/>
          <w:b w:val="0"/>
          <w:sz w:val="22"/>
        </w:rPr>
        <w:t>No se tomará en consideración ninguna oferta presentada por otros medios.</w:t>
      </w:r>
    </w:p>
    <w:p w:rsidR="00AB2EF7" w:rsidRPr="001A2815" w:rsidRDefault="00AB2EF7">
      <w:pPr>
        <w:pStyle w:val="Blockquote"/>
        <w:jc w:val="both"/>
        <w:rPr>
          <w:rStyle w:val="Strong"/>
          <w:b w:val="0"/>
          <w:sz w:val="22"/>
          <w:szCs w:val="22"/>
        </w:rPr>
      </w:pPr>
      <w:r w:rsidRPr="001A2815">
        <w:rPr>
          <w:rStyle w:val="Strong"/>
          <w:b w:val="0"/>
          <w:sz w:val="22"/>
          <w:szCs w:val="22"/>
        </w:rPr>
        <w:t>Al presentar una oferta, los licitadores aceptan recibir la notificación del resultado del procedimiento por vía electrónica.</w:t>
      </w:r>
    </w:p>
    <w:p w:rsidR="003262FC" w:rsidRPr="00AB2EF7" w:rsidRDefault="003262FC" w:rsidP="00584BF4">
      <w:pPr>
        <w:ind w:left="709" w:hanging="349"/>
        <w:outlineLvl w:val="0"/>
        <w:rPr>
          <w:b/>
          <w:sz w:val="22"/>
          <w:szCs w:val="22"/>
        </w:rPr>
      </w:pPr>
      <w:r w:rsidRPr="00AB2EF7">
        <w:rPr>
          <w:rStyle w:val="Strong"/>
          <w:sz w:val="22"/>
        </w:rPr>
        <w:t>21.</w:t>
      </w:r>
      <w:r w:rsidRPr="00AB2EF7">
        <w:tab/>
      </w:r>
      <w:r w:rsidRPr="00AB2EF7">
        <w:rPr>
          <w:rStyle w:val="Strong"/>
          <w:sz w:val="22"/>
        </w:rPr>
        <w:t>Modificación o retirada de las ofertas</w:t>
      </w:r>
    </w:p>
    <w:p w:rsidR="003262FC" w:rsidRPr="00AB2EF7" w:rsidRDefault="006714ED" w:rsidP="003262FC">
      <w:pPr>
        <w:pStyle w:val="Blockquote"/>
        <w:jc w:val="both"/>
        <w:rPr>
          <w:sz w:val="22"/>
          <w:szCs w:val="22"/>
        </w:rPr>
      </w:pPr>
      <w:r w:rsidRPr="00AB2EF7">
        <w:rPr>
          <w:sz w:val="22"/>
        </w:rPr>
        <w:t>Los licitadores podrán modificar o retirar sus ofertas mediante notificación escrita antes del final del plazo de entrega de las mismas.</w:t>
      </w:r>
      <w:r w:rsidR="00C555FD" w:rsidRPr="00AB2EF7">
        <w:rPr>
          <w:sz w:val="22"/>
        </w:rPr>
        <w:t xml:space="preserve"> </w:t>
      </w:r>
      <w:r w:rsidRPr="00AB2EF7">
        <w:rPr>
          <w:sz w:val="22"/>
        </w:rPr>
        <w:t>Después de este plazo no se podrán modificar las ofertas.</w:t>
      </w:r>
    </w:p>
    <w:p w:rsidR="003262FC" w:rsidRPr="00AB2EF7" w:rsidRDefault="003262FC" w:rsidP="00EF03C9">
      <w:pPr>
        <w:pStyle w:val="Blockquote"/>
        <w:jc w:val="both"/>
        <w:rPr>
          <w:sz w:val="22"/>
          <w:szCs w:val="22"/>
        </w:rPr>
      </w:pPr>
      <w:r w:rsidRPr="00AB2EF7">
        <w:rPr>
          <w:sz w:val="22"/>
        </w:rPr>
        <w:t xml:space="preserve">Toda notificación de modificación o retirada se redactará y presentará de acuerdo con el punto </w:t>
      </w:r>
      <w:r w:rsidR="00916955">
        <w:rPr>
          <w:sz w:val="22"/>
        </w:rPr>
        <w:t>9</w:t>
      </w:r>
      <w:r w:rsidRPr="00AB2EF7">
        <w:rPr>
          <w:sz w:val="22"/>
        </w:rPr>
        <w:t xml:space="preserve"> de las </w:t>
      </w:r>
      <w:r w:rsidR="00173349">
        <w:rPr>
          <w:sz w:val="22"/>
        </w:rPr>
        <w:t>i</w:t>
      </w:r>
      <w:r w:rsidRPr="00AB2EF7">
        <w:rPr>
          <w:sz w:val="22"/>
        </w:rPr>
        <w:t xml:space="preserve">nstrucciones para los </w:t>
      </w:r>
      <w:r w:rsidR="00B752C1" w:rsidRPr="00AB2EF7">
        <w:rPr>
          <w:sz w:val="22"/>
        </w:rPr>
        <w:t>l</w:t>
      </w:r>
      <w:r w:rsidRPr="00AB2EF7">
        <w:rPr>
          <w:sz w:val="22"/>
        </w:rPr>
        <w:t>icitadores.</w:t>
      </w:r>
      <w:r w:rsidR="00C555FD" w:rsidRPr="00AB2EF7">
        <w:rPr>
          <w:sz w:val="22"/>
        </w:rPr>
        <w:t xml:space="preserve"> </w:t>
      </w:r>
      <w:r w:rsidRPr="00AB2EF7">
        <w:rPr>
          <w:sz w:val="22"/>
        </w:rPr>
        <w:t>El sobre exterior (y el correspondiente sobre interior, en su caso) deberá llevar la mención «Modificación» o «Retirada», según proceda.</w:t>
      </w:r>
    </w:p>
    <w:p w:rsidR="006F5FD0" w:rsidRPr="00AB2EF7" w:rsidRDefault="003262FC" w:rsidP="00A171EA">
      <w:pPr>
        <w:keepNext/>
        <w:ind w:left="709" w:hanging="352"/>
        <w:outlineLvl w:val="0"/>
        <w:rPr>
          <w:sz w:val="22"/>
          <w:szCs w:val="22"/>
        </w:rPr>
      </w:pPr>
      <w:r w:rsidRPr="00AB2EF7">
        <w:rPr>
          <w:rStyle w:val="Strong"/>
          <w:sz w:val="22"/>
        </w:rPr>
        <w:t xml:space="preserve">22. </w:t>
      </w:r>
      <w:r w:rsidRPr="00AB2EF7">
        <w:tab/>
      </w:r>
      <w:r w:rsidRPr="00AB2EF7">
        <w:rPr>
          <w:rStyle w:val="Strong"/>
          <w:sz w:val="22"/>
        </w:rPr>
        <w:t>Lengua operativa</w:t>
      </w:r>
    </w:p>
    <w:p w:rsidR="006F5FD0" w:rsidRPr="00AB2EF7" w:rsidRDefault="006F5FD0">
      <w:pPr>
        <w:pStyle w:val="Blockquote"/>
        <w:jc w:val="both"/>
        <w:rPr>
          <w:i/>
          <w:sz w:val="22"/>
          <w:szCs w:val="22"/>
        </w:rPr>
      </w:pPr>
      <w:r w:rsidRPr="00AB2EF7">
        <w:rPr>
          <w:rStyle w:val="Emphasis"/>
          <w:i w:val="0"/>
          <w:sz w:val="22"/>
        </w:rPr>
        <w:t xml:space="preserve">Todas las comunicaciones escritas para este procedimiento de licitación y </w:t>
      </w:r>
      <w:r w:rsidR="00A246D6" w:rsidRPr="00AB2EF7">
        <w:rPr>
          <w:rStyle w:val="Emphasis"/>
          <w:i w:val="0"/>
          <w:sz w:val="22"/>
        </w:rPr>
        <w:t>contrato</w:t>
      </w:r>
      <w:r w:rsidRPr="00AB2EF7">
        <w:rPr>
          <w:rStyle w:val="Emphasis"/>
          <w:i w:val="0"/>
          <w:sz w:val="22"/>
        </w:rPr>
        <w:t xml:space="preserve"> deberán realizarse en español.</w:t>
      </w:r>
      <w:r w:rsidR="00C555FD" w:rsidRPr="00AB2EF7">
        <w:rPr>
          <w:rStyle w:val="Emphasis"/>
          <w:i w:val="0"/>
          <w:sz w:val="22"/>
        </w:rPr>
        <w:t xml:space="preserve"> </w:t>
      </w:r>
    </w:p>
    <w:p w:rsidR="006F5FD0" w:rsidRPr="00AB2EF7" w:rsidRDefault="004E1482" w:rsidP="00584BF4">
      <w:pPr>
        <w:ind w:left="709" w:hanging="349"/>
        <w:outlineLvl w:val="0"/>
        <w:rPr>
          <w:rStyle w:val="Strong"/>
          <w:sz w:val="22"/>
          <w:szCs w:val="22"/>
        </w:rPr>
      </w:pPr>
      <w:r w:rsidRPr="00AB2EF7">
        <w:rPr>
          <w:rStyle w:val="Strong"/>
          <w:sz w:val="22"/>
        </w:rPr>
        <w:t xml:space="preserve">23. </w:t>
      </w:r>
      <w:r w:rsidRPr="00AB2EF7">
        <w:tab/>
      </w:r>
      <w:r w:rsidRPr="00AB2EF7">
        <w:rPr>
          <w:rStyle w:val="Strong"/>
          <w:sz w:val="22"/>
        </w:rPr>
        <w:t>Base jurídica</w:t>
      </w:r>
    </w:p>
    <w:p w:rsidR="00794A92" w:rsidRPr="00AB2EF7" w:rsidRDefault="00794A92" w:rsidP="004732A8">
      <w:pPr>
        <w:pStyle w:val="Blockquote"/>
        <w:spacing w:before="120" w:after="0"/>
        <w:ind w:left="426" w:right="357"/>
        <w:jc w:val="both"/>
        <w:rPr>
          <w:sz w:val="22"/>
          <w:szCs w:val="22"/>
        </w:rPr>
      </w:pPr>
      <w:r w:rsidRPr="00AB2EF7">
        <w:rPr>
          <w:sz w:val="22"/>
        </w:rPr>
        <w:t>[</w:t>
      </w:r>
      <w:r w:rsidRPr="00AB2EF7">
        <w:rPr>
          <w:sz w:val="22"/>
          <w:highlight w:val="yellow"/>
        </w:rPr>
        <w:t>P</w:t>
      </w:r>
      <w:r w:rsidR="00173349">
        <w:rPr>
          <w:sz w:val="22"/>
          <w:highlight w:val="yellow"/>
        </w:rPr>
        <w:t>resupuesto general de la Unión</w:t>
      </w:r>
      <w:r w:rsidRPr="00AB2EF7">
        <w:rPr>
          <w:sz w:val="22"/>
          <w:highlight w:val="yellow"/>
        </w:rPr>
        <w:t xml:space="preserve">: en el caso de las convocatorias en las que se aplica el Reglamento de </w:t>
      </w:r>
      <w:r w:rsidR="00B752C1" w:rsidRPr="00AB2EF7">
        <w:rPr>
          <w:sz w:val="22"/>
          <w:highlight w:val="yellow"/>
        </w:rPr>
        <w:t>e</w:t>
      </w:r>
      <w:r w:rsidRPr="00AB2EF7">
        <w:rPr>
          <w:sz w:val="22"/>
          <w:highlight w:val="yellow"/>
        </w:rPr>
        <w:t>jecución común (REC):</w:t>
      </w:r>
      <w:r w:rsidRPr="00AB2EF7">
        <w:rPr>
          <w:sz w:val="22"/>
        </w:rPr>
        <w:t xml:space="preserve"> </w:t>
      </w:r>
      <w:r w:rsidRPr="00AB2EF7">
        <w:rPr>
          <w:sz w:val="22"/>
          <w:highlight w:val="lightGray"/>
        </w:rPr>
        <w:t>Reglamento (UE) n</w:t>
      </w:r>
      <w:r w:rsidR="001A2815">
        <w:rPr>
          <w:sz w:val="22"/>
          <w:highlight w:val="lightGray"/>
        </w:rPr>
        <w:t>.</w:t>
      </w:r>
      <w:r w:rsidRPr="00AB2EF7">
        <w:rPr>
          <w:sz w:val="22"/>
          <w:highlight w:val="lightGray"/>
        </w:rPr>
        <w:t>° 236/2014 del Parlamento Europeo y del Consejo, de</w:t>
      </w:r>
      <w:r w:rsidR="00C555FD" w:rsidRPr="00AB2EF7">
        <w:rPr>
          <w:sz w:val="22"/>
          <w:highlight w:val="lightGray"/>
        </w:rPr>
        <w:t xml:space="preserve"> </w:t>
      </w:r>
      <w:r w:rsidRPr="00AB2EF7">
        <w:rPr>
          <w:sz w:val="22"/>
          <w:highlight w:val="lightGray"/>
        </w:rPr>
        <w:t xml:space="preserve">11 de marzo de 2014, por el que se establecen normas y procedimientos de ejecución comunes de los instrumentos de la Unión para la financiación de la acción exterior y </w:t>
      </w:r>
      <w:r w:rsidR="00A246D6" w:rsidRPr="00AB2EF7">
        <w:rPr>
          <w:sz w:val="22"/>
          <w:highlight w:val="yellow"/>
        </w:rPr>
        <w:t>&lt;</w:t>
      </w:r>
      <w:r w:rsidRPr="00AB2EF7">
        <w:rPr>
          <w:sz w:val="22"/>
          <w:highlight w:val="yellow"/>
        </w:rPr>
        <w:t>ind</w:t>
      </w:r>
      <w:r w:rsidR="003F6918" w:rsidRPr="00AB2EF7">
        <w:rPr>
          <w:sz w:val="22"/>
          <w:highlight w:val="yellow"/>
        </w:rPr>
        <w:t>ique</w:t>
      </w:r>
      <w:r w:rsidRPr="00AB2EF7">
        <w:rPr>
          <w:sz w:val="22"/>
          <w:highlight w:val="yellow"/>
        </w:rPr>
        <w:t xml:space="preserve"> la referencia del </w:t>
      </w:r>
      <w:r w:rsidR="00173349">
        <w:rPr>
          <w:sz w:val="22"/>
          <w:highlight w:val="yellow"/>
        </w:rPr>
        <w:t>r</w:t>
      </w:r>
      <w:r w:rsidRPr="00AB2EF7">
        <w:rPr>
          <w:sz w:val="22"/>
          <w:highlight w:val="yellow"/>
        </w:rPr>
        <w:t xml:space="preserve">eglamento u otro instrumento con arreglo al cual se financie este </w:t>
      </w:r>
      <w:r w:rsidR="00A246D6" w:rsidRPr="00AB2EF7">
        <w:rPr>
          <w:sz w:val="22"/>
          <w:highlight w:val="yellow"/>
        </w:rPr>
        <w:t>contrato</w:t>
      </w:r>
      <w:r w:rsidR="00C555FD" w:rsidRPr="00AB2EF7">
        <w:rPr>
          <w:sz w:val="22"/>
          <w:highlight w:val="yellow"/>
        </w:rPr>
        <w:t xml:space="preserve"> </w:t>
      </w:r>
      <w:r w:rsidRPr="00AB2EF7">
        <w:rPr>
          <w:sz w:val="22"/>
        </w:rPr>
        <w:t>(p. ej. ICD, IEVA, IEV, IE)</w:t>
      </w:r>
      <w:r w:rsidR="00A246D6" w:rsidRPr="00AB2EF7">
        <w:rPr>
          <w:sz w:val="22"/>
          <w:szCs w:val="22"/>
        </w:rPr>
        <w:t xml:space="preserve">&gt; - </w:t>
      </w:r>
      <w:r w:rsidRPr="00AB2EF7">
        <w:rPr>
          <w:sz w:val="22"/>
          <w:highlight w:val="lightGray"/>
        </w:rPr>
        <w:t xml:space="preserve">Véase </w:t>
      </w:r>
      <w:r w:rsidR="00A246D6" w:rsidRPr="00AB2EF7">
        <w:rPr>
          <w:sz w:val="22"/>
          <w:highlight w:val="lightGray"/>
        </w:rPr>
        <w:t>el anexo A2 de la Guía Práctica</w:t>
      </w:r>
      <w:r w:rsidR="00AB2EF7" w:rsidRPr="00AB2EF7">
        <w:rPr>
          <w:sz w:val="22"/>
          <w:highlight w:val="lightGray"/>
        </w:rPr>
        <w:t>.</w:t>
      </w:r>
      <w:r w:rsidR="00A246D6" w:rsidRPr="00AB2EF7">
        <w:rPr>
          <w:sz w:val="22"/>
          <w:highlight w:val="lightGray"/>
        </w:rPr>
        <w:t>]</w:t>
      </w:r>
    </w:p>
    <w:p w:rsidR="00794A92" w:rsidRPr="00AB2EF7" w:rsidRDefault="00794A92" w:rsidP="00794A92">
      <w:pPr>
        <w:pStyle w:val="Blockquote"/>
        <w:spacing w:before="120" w:after="0"/>
        <w:ind w:left="426" w:right="357"/>
        <w:rPr>
          <w:sz w:val="22"/>
          <w:szCs w:val="22"/>
        </w:rPr>
      </w:pPr>
      <w:r w:rsidRPr="00AB2EF7">
        <w:rPr>
          <w:sz w:val="22"/>
        </w:rPr>
        <w:t>[</w:t>
      </w:r>
      <w:r w:rsidR="00173349" w:rsidRPr="00AB2EF7">
        <w:rPr>
          <w:sz w:val="22"/>
          <w:highlight w:val="yellow"/>
        </w:rPr>
        <w:t>P</w:t>
      </w:r>
      <w:r w:rsidR="00173349">
        <w:rPr>
          <w:sz w:val="22"/>
          <w:highlight w:val="yellow"/>
        </w:rPr>
        <w:t>resupuesto general de la Unión</w:t>
      </w:r>
      <w:r w:rsidRPr="00AB2EF7">
        <w:rPr>
          <w:sz w:val="22"/>
          <w:highlight w:val="yellow"/>
        </w:rPr>
        <w:t>: en el caso de las convocatorias en las que no se aplica el REC (p. ej., IPA I</w:t>
      </w:r>
      <w:r w:rsidR="00152117" w:rsidRPr="00AB2EF7">
        <w:rPr>
          <w:sz w:val="22"/>
          <w:szCs w:val="22"/>
          <w:highlight w:val="yellow"/>
        </w:rPr>
        <w:t>)</w:t>
      </w:r>
      <w:r w:rsidR="00A246D6" w:rsidRPr="00AB2EF7">
        <w:rPr>
          <w:sz w:val="22"/>
          <w:szCs w:val="22"/>
        </w:rPr>
        <w:t xml:space="preserve">: </w:t>
      </w:r>
      <w:r w:rsidRPr="00AB2EF7">
        <w:rPr>
          <w:sz w:val="22"/>
          <w:highlight w:val="lightGray"/>
        </w:rPr>
        <w:t xml:space="preserve">Reglamento u otro instrumento con arreglo al cual se financie este </w:t>
      </w:r>
      <w:r w:rsidR="00A246D6" w:rsidRPr="00AB2EF7">
        <w:rPr>
          <w:sz w:val="22"/>
          <w:highlight w:val="lightGray"/>
        </w:rPr>
        <w:t>contrato</w:t>
      </w:r>
      <w:r w:rsidRPr="00AB2EF7">
        <w:rPr>
          <w:sz w:val="22"/>
        </w:rPr>
        <w:t xml:space="preserve"> - </w:t>
      </w:r>
      <w:r w:rsidRPr="00AB2EF7">
        <w:rPr>
          <w:sz w:val="22"/>
          <w:highlight w:val="lightGray"/>
        </w:rPr>
        <w:t xml:space="preserve">Véase </w:t>
      </w:r>
      <w:r w:rsidR="00A246D6" w:rsidRPr="00AB2EF7">
        <w:rPr>
          <w:sz w:val="22"/>
          <w:highlight w:val="lightGray"/>
        </w:rPr>
        <w:t>el anexo A2 de la Guía Práctica</w:t>
      </w:r>
      <w:r w:rsidR="00AB2EF7" w:rsidRPr="00AB2EF7">
        <w:rPr>
          <w:sz w:val="22"/>
          <w:highlight w:val="lightGray"/>
        </w:rPr>
        <w:t>.</w:t>
      </w:r>
      <w:r w:rsidRPr="00AB2EF7">
        <w:rPr>
          <w:sz w:val="22"/>
          <w:highlight w:val="lightGray"/>
        </w:rPr>
        <w:t>]</w:t>
      </w:r>
    </w:p>
    <w:p w:rsidR="00794A92" w:rsidRPr="00AB2EF7" w:rsidRDefault="00794A92" w:rsidP="00794A92">
      <w:pPr>
        <w:pStyle w:val="Blockquote"/>
        <w:jc w:val="both"/>
        <w:rPr>
          <w:sz w:val="22"/>
          <w:szCs w:val="22"/>
        </w:rPr>
      </w:pPr>
      <w:r w:rsidRPr="00AB2EF7">
        <w:rPr>
          <w:sz w:val="22"/>
        </w:rPr>
        <w:t>[</w:t>
      </w:r>
      <w:r w:rsidRPr="00AB2EF7">
        <w:rPr>
          <w:sz w:val="22"/>
          <w:highlight w:val="yellow"/>
        </w:rPr>
        <w:t>FED:</w:t>
      </w:r>
      <w:r w:rsidR="00A246D6" w:rsidRPr="00AB2EF7">
        <w:rPr>
          <w:sz w:val="22"/>
        </w:rPr>
        <w:t xml:space="preserve"> </w:t>
      </w:r>
      <w:r w:rsidR="00A246D6" w:rsidRPr="00AB2EF7">
        <w:rPr>
          <w:sz w:val="22"/>
          <w:highlight w:val="lightGray"/>
        </w:rPr>
        <w:t>Anexo IV del Acuerdo de Asociación entre los Estados de África, del Caribe y del Pacífico, por una parte, y la Comunidad Europea y sus Estados miembros, por otra, firmado en Cotonú el 23 de junio de 2000 y modificado en Luxemburgo el 25 de junio de 2005 y en Uagadugu el 22 de junio de 2010. Se remite al anexo</w:t>
      </w:r>
      <w:r w:rsidR="00AE3382" w:rsidRPr="00AB2EF7">
        <w:rPr>
          <w:sz w:val="22"/>
          <w:highlight w:val="lightGray"/>
        </w:rPr>
        <w:t xml:space="preserve"> IV revisado por la Decisión n</w:t>
      </w:r>
      <w:r w:rsidR="001A2815">
        <w:rPr>
          <w:sz w:val="22"/>
          <w:highlight w:val="lightGray"/>
        </w:rPr>
        <w:t>.</w:t>
      </w:r>
      <w:r w:rsidR="00AE3382" w:rsidRPr="00AB2EF7">
        <w:rPr>
          <w:sz w:val="22"/>
          <w:highlight w:val="lightGray"/>
        </w:rPr>
        <w:t>º </w:t>
      </w:r>
      <w:r w:rsidR="00A246D6" w:rsidRPr="00AB2EF7">
        <w:rPr>
          <w:sz w:val="22"/>
          <w:highlight w:val="lightGray"/>
        </w:rPr>
        <w:t xml:space="preserve">1/2014 del </w:t>
      </w:r>
      <w:r w:rsidR="00A246D6" w:rsidRPr="00AB2EF7">
        <w:rPr>
          <w:sz w:val="22"/>
          <w:highlight w:val="lightGray"/>
        </w:rPr>
        <w:lastRenderedPageBreak/>
        <w:t>Consejo de Ministros ACP-UE de 20 de junio de 2014.</w:t>
      </w:r>
      <w:r w:rsidR="00A246D6" w:rsidRPr="00AB2EF7">
        <w:rPr>
          <w:sz w:val="22"/>
        </w:rPr>
        <w:t>]</w:t>
      </w:r>
    </w:p>
    <w:p w:rsidR="00794A92" w:rsidRPr="00AB2EF7" w:rsidRDefault="00794A92" w:rsidP="00794A92">
      <w:pPr>
        <w:pStyle w:val="Blockquote"/>
        <w:jc w:val="both"/>
        <w:rPr>
          <w:b/>
          <w:bCs/>
          <w:sz w:val="22"/>
          <w:szCs w:val="22"/>
        </w:rPr>
      </w:pPr>
    </w:p>
    <w:p w:rsidR="00E9047D" w:rsidRPr="00AB2EF7" w:rsidRDefault="00C0772E" w:rsidP="00E9047D">
      <w:pPr>
        <w:pStyle w:val="Blockquote"/>
        <w:jc w:val="both"/>
        <w:rPr>
          <w:b/>
        </w:rPr>
      </w:pPr>
      <w:r w:rsidRPr="00AB2EF7">
        <w:rPr>
          <w:b/>
        </w:rPr>
        <w:t>24. Información adicional</w:t>
      </w:r>
    </w:p>
    <w:p w:rsidR="00E0619A" w:rsidRDefault="00E0619A" w:rsidP="00E0619A">
      <w:pPr>
        <w:pStyle w:val="Blockquote"/>
        <w:jc w:val="both"/>
      </w:pPr>
      <w:r w:rsidRPr="00D05F6C">
        <w:rPr>
          <w:sz w:val="22"/>
        </w:rPr>
        <w:t xml:space="preserve">Los datos financieros que facilite el candidato en el formulario de solicitud normalizado se expresarán en </w:t>
      </w:r>
      <w:r w:rsidRPr="00885B6F">
        <w:rPr>
          <w:sz w:val="22"/>
          <w:highlight w:val="yellow"/>
        </w:rPr>
        <w:t>[</w:t>
      </w:r>
      <w:r w:rsidRPr="00885B6F">
        <w:rPr>
          <w:sz w:val="22"/>
          <w:highlight w:val="lightGray"/>
        </w:rPr>
        <w:t>EUR</w:t>
      </w:r>
      <w:r w:rsidRPr="00885B6F">
        <w:rPr>
          <w:sz w:val="22"/>
          <w:highlight w:val="yellow"/>
        </w:rPr>
        <w:t>] [&lt; código ISO de la moneda nacional &gt; únicamente para la gestión indirecta en los siguientes casos: i) cuando las restricciones legales o locales impongan excepcionalmente el uso de la moneda nacional; ii) cuando sea necesario, para los contratos en el marco del componente de anticipos de un presupuesto-programa]</w:t>
      </w:r>
      <w:r w:rsidRPr="00D05F6C">
        <w:rPr>
          <w:sz w:val="22"/>
        </w:rPr>
        <w:t xml:space="preserve">. Si procede, cuando un candidato se refiera a importes inicialmente expresados en una moneda diferente, la conversión a </w:t>
      </w:r>
      <w:r w:rsidRPr="00885B6F">
        <w:rPr>
          <w:sz w:val="22"/>
          <w:highlight w:val="yellow"/>
        </w:rPr>
        <w:t>[</w:t>
      </w:r>
      <w:r w:rsidRPr="00885B6F">
        <w:rPr>
          <w:sz w:val="22"/>
          <w:highlight w:val="lightGray"/>
        </w:rPr>
        <w:t>EUR</w:t>
      </w:r>
      <w:r w:rsidRPr="00885B6F">
        <w:rPr>
          <w:sz w:val="22"/>
          <w:highlight w:val="yellow"/>
        </w:rPr>
        <w:t>] [</w:t>
      </w:r>
      <w:r w:rsidRPr="00C41242">
        <w:rPr>
          <w:sz w:val="22"/>
          <w:highlight w:val="yellow"/>
        </w:rPr>
        <w:t>&lt;</w:t>
      </w:r>
      <w:r>
        <w:rPr>
          <w:sz w:val="22"/>
          <w:highlight w:val="yellow"/>
        </w:rPr>
        <w:t xml:space="preserve"> </w:t>
      </w:r>
      <w:r w:rsidRPr="00885B6F">
        <w:rPr>
          <w:sz w:val="22"/>
          <w:highlight w:val="yellow"/>
        </w:rPr>
        <w:t>código ISO de la moneda nacional &gt; únicamente para la gestión indi</w:t>
      </w:r>
      <w:r>
        <w:rPr>
          <w:sz w:val="22"/>
          <w:highlight w:val="yellow"/>
        </w:rPr>
        <w:t>recta en los siguientes casos: i</w:t>
      </w:r>
      <w:r w:rsidRPr="00885B6F">
        <w:rPr>
          <w:sz w:val="22"/>
          <w:highlight w:val="yellow"/>
        </w:rPr>
        <w:t xml:space="preserve">) cuando las restricciones legales o locales impongan excepcionalmente </w:t>
      </w:r>
      <w:r>
        <w:rPr>
          <w:sz w:val="22"/>
          <w:highlight w:val="yellow"/>
        </w:rPr>
        <w:t>el uso de la moneda nacional; ii</w:t>
      </w:r>
      <w:r w:rsidRPr="00885B6F">
        <w:rPr>
          <w:sz w:val="22"/>
          <w:highlight w:val="yellow"/>
        </w:rPr>
        <w:t>) cuando sea necesario, para los contratos en el marco del componente de anticipos de un presupuesto-programa]</w:t>
      </w:r>
      <w:r w:rsidRPr="00D05F6C">
        <w:rPr>
          <w:sz w:val="22"/>
        </w:rPr>
        <w:t xml:space="preserve"> se ajustará al tipo de cambio InforEuro del </w:t>
      </w:r>
      <w:r w:rsidRPr="00885B6F">
        <w:rPr>
          <w:sz w:val="22"/>
          <w:highlight w:val="yellow"/>
        </w:rPr>
        <w:t xml:space="preserve">[&lt; </w:t>
      </w:r>
      <w:r w:rsidRPr="00885B6F">
        <w:rPr>
          <w:b/>
          <w:sz w:val="22"/>
          <w:highlight w:val="yellow"/>
        </w:rPr>
        <w:t>MES y AÑO</w:t>
      </w:r>
      <w:r w:rsidRPr="00885B6F">
        <w:rPr>
          <w:sz w:val="22"/>
          <w:highlight w:val="yellow"/>
        </w:rPr>
        <w:t xml:space="preserve"> &gt; del tipo de cambio InforEuro pertinente, que puede corresponder al mes y al año de publicación del presente anuncio de </w:t>
      </w:r>
      <w:r>
        <w:rPr>
          <w:sz w:val="22"/>
          <w:highlight w:val="yellow"/>
        </w:rPr>
        <w:t>contrato o al mes y a</w:t>
      </w:r>
      <w:r w:rsidRPr="00885B6F">
        <w:rPr>
          <w:sz w:val="22"/>
          <w:highlight w:val="yellow"/>
        </w:rPr>
        <w:t>l año correspondientes al plazo de presentación de solicitudes]</w:t>
      </w:r>
      <w:r w:rsidRPr="00D05F6C">
        <w:rPr>
          <w:sz w:val="22"/>
        </w:rPr>
        <w:t>, que puede consultarse en la siguiente d</w:t>
      </w:r>
      <w:r>
        <w:rPr>
          <w:sz w:val="22"/>
        </w:rPr>
        <w:t xml:space="preserve">irección: </w:t>
      </w:r>
      <w:hyperlink r:id="rId10" w:history="1">
        <w:r w:rsidRPr="00775E2E">
          <w:rPr>
            <w:rStyle w:val="Hyperlink"/>
            <w:sz w:val="22"/>
          </w:rPr>
          <w:t>http://ec.europa.eu/budget/graphs/inforeuro.html</w:t>
        </w:r>
      </w:hyperlink>
      <w:r w:rsidRPr="00D05F6C">
        <w:rPr>
          <w:sz w:val="22"/>
        </w:rPr>
        <w:t>.</w:t>
      </w:r>
    </w:p>
    <w:p w:rsidR="00DD3F69" w:rsidRDefault="00DD3F69" w:rsidP="00E9047D">
      <w:pPr>
        <w:pStyle w:val="Blockquote"/>
        <w:jc w:val="both"/>
      </w:pPr>
    </w:p>
    <w:p w:rsidR="006F5FD0" w:rsidRPr="00AB2EF7" w:rsidRDefault="00E9047D" w:rsidP="00E9047D">
      <w:pPr>
        <w:pStyle w:val="Blockquote"/>
        <w:jc w:val="both"/>
      </w:pPr>
      <w:r w:rsidRPr="00AB2EF7">
        <w:t xml:space="preserve">&lt; </w:t>
      </w:r>
      <w:r w:rsidRPr="00AB2EF7">
        <w:rPr>
          <w:highlight w:val="yellow"/>
        </w:rPr>
        <w:t xml:space="preserve">Según </w:t>
      </w:r>
      <w:r w:rsidR="00A246D6" w:rsidRPr="00AB2EF7">
        <w:rPr>
          <w:highlight w:val="yellow"/>
        </w:rPr>
        <w:t>proceda</w:t>
      </w:r>
      <w:r w:rsidRPr="00AB2EF7">
        <w:t xml:space="preserve"> &gt;</w:t>
      </w:r>
    </w:p>
    <w:p w:rsidR="00E9047D" w:rsidRPr="00AB2EF7" w:rsidRDefault="00E9047D" w:rsidP="00E9047D">
      <w:pPr>
        <w:pStyle w:val="Blockquote"/>
        <w:jc w:val="both"/>
      </w:pPr>
      <w:r w:rsidRPr="00AB2EF7">
        <w:rPr>
          <w:highlight w:val="yellow"/>
        </w:rPr>
        <w:t>p. ej., horarios de apertura del Órgano de Contratación, importe de los gastos imprevistos en caso de que sea superior al normal, etc.</w:t>
      </w:r>
    </w:p>
    <w:sectPr w:rsidR="00E9047D" w:rsidRPr="00AB2EF7" w:rsidSect="00A43E7A">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709"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1CC" w:rsidRDefault="004C21CC">
      <w:r>
        <w:separator/>
      </w:r>
    </w:p>
  </w:endnote>
  <w:endnote w:type="continuationSeparator" w:id="0">
    <w:p w:rsidR="004C21CC" w:rsidRDefault="004C2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BF" w:rsidRDefault="00256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BDA" w:rsidRPr="009655FD" w:rsidRDefault="00256DBF" w:rsidP="00361BDA">
    <w:pPr>
      <w:pStyle w:val="Footer"/>
      <w:tabs>
        <w:tab w:val="clear" w:pos="4320"/>
        <w:tab w:val="clear" w:pos="8640"/>
        <w:tab w:val="right" w:pos="9214"/>
      </w:tabs>
      <w:spacing w:before="0" w:after="0"/>
      <w:rPr>
        <w:b/>
        <w:sz w:val="20"/>
        <w:lang w:val="pt-PT"/>
      </w:rPr>
    </w:pPr>
    <w:r w:rsidRPr="00256DBF">
      <w:rPr>
        <w:b/>
        <w:sz w:val="20"/>
        <w:lang w:val="pt-PT"/>
      </w:rPr>
      <w:t>Agosto 2020</w:t>
    </w:r>
    <w:r w:rsidR="00B42A35" w:rsidRPr="009655FD">
      <w:rPr>
        <w:sz w:val="18"/>
        <w:szCs w:val="18"/>
        <w:lang w:val="pt-PT"/>
      </w:rPr>
      <w:tab/>
    </w:r>
    <w:r w:rsidR="00361BDA" w:rsidRPr="009655FD">
      <w:rPr>
        <w:sz w:val="18"/>
        <w:szCs w:val="18"/>
        <w:lang w:val="pt-PT"/>
      </w:rPr>
      <w:t xml:space="preserve">Página </w:t>
    </w:r>
    <w:r w:rsidR="00361BDA" w:rsidRPr="00B33EE6">
      <w:rPr>
        <w:rStyle w:val="PageNumber"/>
        <w:sz w:val="18"/>
        <w:szCs w:val="18"/>
        <w:lang w:val="en-GB"/>
      </w:rPr>
      <w:fldChar w:fldCharType="begin"/>
    </w:r>
    <w:r w:rsidR="00361BDA" w:rsidRPr="009655FD">
      <w:rPr>
        <w:rStyle w:val="PageNumber"/>
        <w:sz w:val="18"/>
        <w:szCs w:val="18"/>
        <w:lang w:val="pt-PT"/>
      </w:rPr>
      <w:instrText xml:space="preserve"> PAGE </w:instrText>
    </w:r>
    <w:r w:rsidR="00361BDA" w:rsidRPr="00B33EE6">
      <w:rPr>
        <w:rStyle w:val="PageNumber"/>
        <w:sz w:val="18"/>
        <w:szCs w:val="18"/>
        <w:lang w:val="en-GB"/>
      </w:rPr>
      <w:fldChar w:fldCharType="separate"/>
    </w:r>
    <w:r>
      <w:rPr>
        <w:rStyle w:val="PageNumber"/>
        <w:noProof/>
        <w:sz w:val="18"/>
        <w:szCs w:val="18"/>
        <w:lang w:val="pt-PT"/>
      </w:rPr>
      <w:t>1</w:t>
    </w:r>
    <w:r w:rsidR="00361BDA" w:rsidRPr="00B33EE6">
      <w:rPr>
        <w:rStyle w:val="PageNumber"/>
        <w:sz w:val="18"/>
        <w:szCs w:val="18"/>
        <w:lang w:val="en-GB"/>
      </w:rPr>
      <w:fldChar w:fldCharType="end"/>
    </w:r>
    <w:r w:rsidR="00361BDA" w:rsidRPr="009655FD">
      <w:rPr>
        <w:rStyle w:val="PageNumber"/>
        <w:sz w:val="18"/>
        <w:szCs w:val="18"/>
        <w:lang w:val="pt-PT"/>
      </w:rPr>
      <w:t xml:space="preserve"> de </w:t>
    </w:r>
    <w:r w:rsidR="00361BDA" w:rsidRPr="00B33EE6">
      <w:rPr>
        <w:rStyle w:val="PageNumber"/>
        <w:sz w:val="18"/>
        <w:szCs w:val="18"/>
        <w:lang w:val="en-GB"/>
      </w:rPr>
      <w:fldChar w:fldCharType="begin"/>
    </w:r>
    <w:r w:rsidR="00361BDA" w:rsidRPr="009655FD">
      <w:rPr>
        <w:rStyle w:val="PageNumber"/>
        <w:sz w:val="18"/>
        <w:szCs w:val="18"/>
        <w:lang w:val="pt-PT"/>
      </w:rPr>
      <w:instrText xml:space="preserve"> NUMPAGES   \* MERGEFORMAT </w:instrText>
    </w:r>
    <w:r w:rsidR="00361BDA" w:rsidRPr="00B33EE6">
      <w:rPr>
        <w:rStyle w:val="PageNumber"/>
        <w:sz w:val="18"/>
        <w:szCs w:val="18"/>
        <w:lang w:val="en-GB"/>
      </w:rPr>
      <w:fldChar w:fldCharType="separate"/>
    </w:r>
    <w:r>
      <w:rPr>
        <w:rStyle w:val="PageNumber"/>
        <w:noProof/>
        <w:sz w:val="18"/>
        <w:szCs w:val="18"/>
        <w:lang w:val="pt-PT"/>
      </w:rPr>
      <w:t>9</w:t>
    </w:r>
    <w:r w:rsidR="00361BDA" w:rsidRPr="00B33EE6">
      <w:rPr>
        <w:rStyle w:val="PageNumber"/>
        <w:sz w:val="18"/>
        <w:szCs w:val="18"/>
        <w:lang w:val="en-GB"/>
      </w:rPr>
      <w:fldChar w:fldCharType="end"/>
    </w:r>
  </w:p>
  <w:p w:rsidR="00EF0A8C" w:rsidRPr="009655FD" w:rsidRDefault="009655FD" w:rsidP="00361BDA">
    <w:pPr>
      <w:pStyle w:val="Footer"/>
      <w:tabs>
        <w:tab w:val="clear" w:pos="4320"/>
        <w:tab w:val="clear" w:pos="8640"/>
        <w:tab w:val="right" w:pos="9214"/>
      </w:tabs>
      <w:spacing w:before="0" w:after="0"/>
      <w:rPr>
        <w:lang w:val="pt-PT"/>
      </w:rPr>
    </w:pPr>
    <w:r w:rsidRPr="00B33EE6">
      <w:rPr>
        <w:sz w:val="18"/>
        <w:szCs w:val="18"/>
        <w:lang w:val="en-GB"/>
      </w:rPr>
      <w:fldChar w:fldCharType="begin"/>
    </w:r>
    <w:r w:rsidRPr="009655FD">
      <w:rPr>
        <w:sz w:val="18"/>
        <w:szCs w:val="18"/>
        <w:lang w:val="pt-PT"/>
      </w:rPr>
      <w:instrText xml:space="preserve"> FILENAME </w:instrText>
    </w:r>
    <w:r w:rsidRPr="00B33EE6">
      <w:rPr>
        <w:sz w:val="18"/>
        <w:szCs w:val="18"/>
        <w:lang w:val="en-GB"/>
      </w:rPr>
      <w:fldChar w:fldCharType="separate"/>
    </w:r>
    <w:r w:rsidRPr="009655FD">
      <w:rPr>
        <w:noProof/>
        <w:sz w:val="18"/>
        <w:szCs w:val="18"/>
        <w:lang w:val="pt-PT"/>
      </w:rPr>
      <w:t>b8o3_contractnotice_simp_es.doc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BF" w:rsidRDefault="00256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1CC" w:rsidRDefault="004C21CC">
      <w:r>
        <w:separator/>
      </w:r>
    </w:p>
  </w:footnote>
  <w:footnote w:type="continuationSeparator" w:id="0">
    <w:p w:rsidR="004C21CC" w:rsidRDefault="004C2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BF" w:rsidRDefault="00256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BF" w:rsidRDefault="00256D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BF" w:rsidRDefault="00256D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2345"/>
        </w:tabs>
        <w:ind w:left="2345"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0"/>
  </w:num>
  <w:num w:numId="35">
    <w:abstractNumId w:val="34"/>
  </w:num>
  <w:num w:numId="36">
    <w:abstractNumId w:val="33"/>
  </w:num>
  <w:num w:numId="37">
    <w:abstractNumId w:val="36"/>
  </w:num>
  <w:num w:numId="38">
    <w:abstractNumId w:val="38"/>
  </w:num>
  <w:num w:numId="39">
    <w:abstractNumId w:val="42"/>
  </w:num>
  <w:num w:numId="40">
    <w:abstractNumId w:val="43"/>
  </w:num>
  <w:num w:numId="41">
    <w:abstractNumId w:val="39"/>
  </w:num>
  <w:num w:numId="42">
    <w:abstractNumId w:val="41"/>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12223"/>
    <w:rsid w:val="00012AF1"/>
    <w:rsid w:val="00013EB7"/>
    <w:rsid w:val="00013F0F"/>
    <w:rsid w:val="00014B76"/>
    <w:rsid w:val="0002004D"/>
    <w:rsid w:val="00022D5F"/>
    <w:rsid w:val="0003004C"/>
    <w:rsid w:val="000333FE"/>
    <w:rsid w:val="00063FB5"/>
    <w:rsid w:val="00067E0E"/>
    <w:rsid w:val="000720F1"/>
    <w:rsid w:val="00087A72"/>
    <w:rsid w:val="00095030"/>
    <w:rsid w:val="000A3758"/>
    <w:rsid w:val="000C1101"/>
    <w:rsid w:val="000C1522"/>
    <w:rsid w:val="000F0F6C"/>
    <w:rsid w:val="000F1340"/>
    <w:rsid w:val="000F5DEF"/>
    <w:rsid w:val="0010162C"/>
    <w:rsid w:val="00105302"/>
    <w:rsid w:val="0014405E"/>
    <w:rsid w:val="00152117"/>
    <w:rsid w:val="001661F7"/>
    <w:rsid w:val="00173349"/>
    <w:rsid w:val="00180D47"/>
    <w:rsid w:val="001951FE"/>
    <w:rsid w:val="001A12C3"/>
    <w:rsid w:val="001A2815"/>
    <w:rsid w:val="001A59BB"/>
    <w:rsid w:val="001B2571"/>
    <w:rsid w:val="001C64F1"/>
    <w:rsid w:val="001D19A6"/>
    <w:rsid w:val="001D55F7"/>
    <w:rsid w:val="001E50A2"/>
    <w:rsid w:val="001F1546"/>
    <w:rsid w:val="001F780C"/>
    <w:rsid w:val="00201320"/>
    <w:rsid w:val="00226829"/>
    <w:rsid w:val="00230961"/>
    <w:rsid w:val="00233B9D"/>
    <w:rsid w:val="00233DDA"/>
    <w:rsid w:val="002413EA"/>
    <w:rsid w:val="00243849"/>
    <w:rsid w:val="00253DB6"/>
    <w:rsid w:val="00256DBF"/>
    <w:rsid w:val="00266EB9"/>
    <w:rsid w:val="00266EF1"/>
    <w:rsid w:val="00267A23"/>
    <w:rsid w:val="00271370"/>
    <w:rsid w:val="002D266E"/>
    <w:rsid w:val="002D4121"/>
    <w:rsid w:val="002E1B83"/>
    <w:rsid w:val="002E2635"/>
    <w:rsid w:val="002E7D33"/>
    <w:rsid w:val="002F4E69"/>
    <w:rsid w:val="003045C3"/>
    <w:rsid w:val="003232ED"/>
    <w:rsid w:val="003262FC"/>
    <w:rsid w:val="00330261"/>
    <w:rsid w:val="003378F6"/>
    <w:rsid w:val="00342E7F"/>
    <w:rsid w:val="00343CE2"/>
    <w:rsid w:val="00347673"/>
    <w:rsid w:val="00361BDA"/>
    <w:rsid w:val="003717BC"/>
    <w:rsid w:val="0038633F"/>
    <w:rsid w:val="00386E96"/>
    <w:rsid w:val="0038796E"/>
    <w:rsid w:val="00393804"/>
    <w:rsid w:val="003947E7"/>
    <w:rsid w:val="00397073"/>
    <w:rsid w:val="003A4357"/>
    <w:rsid w:val="003C1515"/>
    <w:rsid w:val="003F2A30"/>
    <w:rsid w:val="003F6918"/>
    <w:rsid w:val="00402F35"/>
    <w:rsid w:val="0040360C"/>
    <w:rsid w:val="00424124"/>
    <w:rsid w:val="00424EF8"/>
    <w:rsid w:val="0043533D"/>
    <w:rsid w:val="0045494F"/>
    <w:rsid w:val="00457E45"/>
    <w:rsid w:val="004732A8"/>
    <w:rsid w:val="00473883"/>
    <w:rsid w:val="00476D80"/>
    <w:rsid w:val="004850B4"/>
    <w:rsid w:val="004901C2"/>
    <w:rsid w:val="004957E5"/>
    <w:rsid w:val="004B624D"/>
    <w:rsid w:val="004C21CC"/>
    <w:rsid w:val="004C49B2"/>
    <w:rsid w:val="004E083B"/>
    <w:rsid w:val="004E1482"/>
    <w:rsid w:val="004E4444"/>
    <w:rsid w:val="004E69A4"/>
    <w:rsid w:val="004E6C3D"/>
    <w:rsid w:val="004F00C7"/>
    <w:rsid w:val="004F34C4"/>
    <w:rsid w:val="004F3BBC"/>
    <w:rsid w:val="004F4A09"/>
    <w:rsid w:val="00500794"/>
    <w:rsid w:val="00502217"/>
    <w:rsid w:val="00503CD9"/>
    <w:rsid w:val="005046CD"/>
    <w:rsid w:val="00505437"/>
    <w:rsid w:val="005070DB"/>
    <w:rsid w:val="005151EF"/>
    <w:rsid w:val="0054183B"/>
    <w:rsid w:val="0056183E"/>
    <w:rsid w:val="005639EC"/>
    <w:rsid w:val="00565A69"/>
    <w:rsid w:val="00571687"/>
    <w:rsid w:val="00572F15"/>
    <w:rsid w:val="00573F7A"/>
    <w:rsid w:val="00582301"/>
    <w:rsid w:val="005826CA"/>
    <w:rsid w:val="00584BF4"/>
    <w:rsid w:val="00584D96"/>
    <w:rsid w:val="00590ADB"/>
    <w:rsid w:val="005B35A2"/>
    <w:rsid w:val="005B4F80"/>
    <w:rsid w:val="005B5E3C"/>
    <w:rsid w:val="005F776D"/>
    <w:rsid w:val="0061336A"/>
    <w:rsid w:val="00632BDC"/>
    <w:rsid w:val="0064390B"/>
    <w:rsid w:val="00663C6D"/>
    <w:rsid w:val="006714ED"/>
    <w:rsid w:val="006738B9"/>
    <w:rsid w:val="00674F9C"/>
    <w:rsid w:val="006770CA"/>
    <w:rsid w:val="00686C3A"/>
    <w:rsid w:val="00697F82"/>
    <w:rsid w:val="006A0598"/>
    <w:rsid w:val="006A66DA"/>
    <w:rsid w:val="006A7394"/>
    <w:rsid w:val="006B534E"/>
    <w:rsid w:val="006B59B9"/>
    <w:rsid w:val="006C0EB6"/>
    <w:rsid w:val="006C0F37"/>
    <w:rsid w:val="006D330F"/>
    <w:rsid w:val="006D6080"/>
    <w:rsid w:val="006E199C"/>
    <w:rsid w:val="006E3377"/>
    <w:rsid w:val="006E625F"/>
    <w:rsid w:val="006F4E62"/>
    <w:rsid w:val="006F5FD0"/>
    <w:rsid w:val="007046C8"/>
    <w:rsid w:val="00710A38"/>
    <w:rsid w:val="007121FB"/>
    <w:rsid w:val="007129D6"/>
    <w:rsid w:val="00712CB3"/>
    <w:rsid w:val="00715755"/>
    <w:rsid w:val="00727468"/>
    <w:rsid w:val="007471C5"/>
    <w:rsid w:val="007508E6"/>
    <w:rsid w:val="00750FF8"/>
    <w:rsid w:val="00753FC2"/>
    <w:rsid w:val="00756C38"/>
    <w:rsid w:val="00761673"/>
    <w:rsid w:val="00761893"/>
    <w:rsid w:val="007653F4"/>
    <w:rsid w:val="007727F3"/>
    <w:rsid w:val="00794A92"/>
    <w:rsid w:val="00796CC5"/>
    <w:rsid w:val="007A04AC"/>
    <w:rsid w:val="007C352C"/>
    <w:rsid w:val="007D6292"/>
    <w:rsid w:val="007D761E"/>
    <w:rsid w:val="007F08C2"/>
    <w:rsid w:val="007F095B"/>
    <w:rsid w:val="007F0A41"/>
    <w:rsid w:val="007F426F"/>
    <w:rsid w:val="007F5383"/>
    <w:rsid w:val="00800827"/>
    <w:rsid w:val="008162F6"/>
    <w:rsid w:val="008272C0"/>
    <w:rsid w:val="008323D3"/>
    <w:rsid w:val="008351FF"/>
    <w:rsid w:val="008579F0"/>
    <w:rsid w:val="0087086B"/>
    <w:rsid w:val="00894E29"/>
    <w:rsid w:val="0089693D"/>
    <w:rsid w:val="008A09C7"/>
    <w:rsid w:val="008A1514"/>
    <w:rsid w:val="008C3178"/>
    <w:rsid w:val="008C68A0"/>
    <w:rsid w:val="008D1243"/>
    <w:rsid w:val="008D3E45"/>
    <w:rsid w:val="008D56DD"/>
    <w:rsid w:val="008E2D12"/>
    <w:rsid w:val="009055F3"/>
    <w:rsid w:val="009066B6"/>
    <w:rsid w:val="00907556"/>
    <w:rsid w:val="00913817"/>
    <w:rsid w:val="00916955"/>
    <w:rsid w:val="00925F7F"/>
    <w:rsid w:val="0092731B"/>
    <w:rsid w:val="009317C0"/>
    <w:rsid w:val="009352F4"/>
    <w:rsid w:val="00952960"/>
    <w:rsid w:val="009655FD"/>
    <w:rsid w:val="009707C4"/>
    <w:rsid w:val="00970B01"/>
    <w:rsid w:val="00971962"/>
    <w:rsid w:val="00971CC5"/>
    <w:rsid w:val="0098341D"/>
    <w:rsid w:val="00983763"/>
    <w:rsid w:val="00991002"/>
    <w:rsid w:val="00994EA3"/>
    <w:rsid w:val="009B06B5"/>
    <w:rsid w:val="009B69BE"/>
    <w:rsid w:val="009C3CF0"/>
    <w:rsid w:val="009F128B"/>
    <w:rsid w:val="00A00BD5"/>
    <w:rsid w:val="00A02E6B"/>
    <w:rsid w:val="00A03055"/>
    <w:rsid w:val="00A11931"/>
    <w:rsid w:val="00A1277E"/>
    <w:rsid w:val="00A171EA"/>
    <w:rsid w:val="00A22177"/>
    <w:rsid w:val="00A236A4"/>
    <w:rsid w:val="00A246D6"/>
    <w:rsid w:val="00A3742E"/>
    <w:rsid w:val="00A433A6"/>
    <w:rsid w:val="00A43E7A"/>
    <w:rsid w:val="00A46ED3"/>
    <w:rsid w:val="00A779FE"/>
    <w:rsid w:val="00A77B07"/>
    <w:rsid w:val="00A84E04"/>
    <w:rsid w:val="00A85E8A"/>
    <w:rsid w:val="00A9571D"/>
    <w:rsid w:val="00A97B08"/>
    <w:rsid w:val="00AA5256"/>
    <w:rsid w:val="00AB2EF7"/>
    <w:rsid w:val="00AB320D"/>
    <w:rsid w:val="00AC0D0C"/>
    <w:rsid w:val="00AD42E3"/>
    <w:rsid w:val="00AE1D8D"/>
    <w:rsid w:val="00AE3382"/>
    <w:rsid w:val="00AE6A5B"/>
    <w:rsid w:val="00AF7BB3"/>
    <w:rsid w:val="00B020AC"/>
    <w:rsid w:val="00B063F9"/>
    <w:rsid w:val="00B112A1"/>
    <w:rsid w:val="00B14398"/>
    <w:rsid w:val="00B14B19"/>
    <w:rsid w:val="00B42A35"/>
    <w:rsid w:val="00B46840"/>
    <w:rsid w:val="00B60EC5"/>
    <w:rsid w:val="00B66CEC"/>
    <w:rsid w:val="00B752C1"/>
    <w:rsid w:val="00B7586A"/>
    <w:rsid w:val="00B805A5"/>
    <w:rsid w:val="00B84AED"/>
    <w:rsid w:val="00B90EE0"/>
    <w:rsid w:val="00B92478"/>
    <w:rsid w:val="00BA0765"/>
    <w:rsid w:val="00BB2689"/>
    <w:rsid w:val="00BC353E"/>
    <w:rsid w:val="00BE595A"/>
    <w:rsid w:val="00BE783C"/>
    <w:rsid w:val="00C00D44"/>
    <w:rsid w:val="00C0772E"/>
    <w:rsid w:val="00C147B2"/>
    <w:rsid w:val="00C171B6"/>
    <w:rsid w:val="00C30183"/>
    <w:rsid w:val="00C316FC"/>
    <w:rsid w:val="00C3644F"/>
    <w:rsid w:val="00C36666"/>
    <w:rsid w:val="00C460D8"/>
    <w:rsid w:val="00C555FD"/>
    <w:rsid w:val="00C712DE"/>
    <w:rsid w:val="00C83C65"/>
    <w:rsid w:val="00C840D0"/>
    <w:rsid w:val="00CA3B1B"/>
    <w:rsid w:val="00CB759D"/>
    <w:rsid w:val="00CC0A41"/>
    <w:rsid w:val="00CC3BA0"/>
    <w:rsid w:val="00CF7CB8"/>
    <w:rsid w:val="00D00216"/>
    <w:rsid w:val="00D011CD"/>
    <w:rsid w:val="00D01CC1"/>
    <w:rsid w:val="00D14A9D"/>
    <w:rsid w:val="00D225CC"/>
    <w:rsid w:val="00D22682"/>
    <w:rsid w:val="00D240C3"/>
    <w:rsid w:val="00D46724"/>
    <w:rsid w:val="00D50BBD"/>
    <w:rsid w:val="00D517A4"/>
    <w:rsid w:val="00D549F4"/>
    <w:rsid w:val="00D93082"/>
    <w:rsid w:val="00DA0ABA"/>
    <w:rsid w:val="00DB19B3"/>
    <w:rsid w:val="00DC0253"/>
    <w:rsid w:val="00DC4F70"/>
    <w:rsid w:val="00DC753D"/>
    <w:rsid w:val="00DD0CD4"/>
    <w:rsid w:val="00DD3F69"/>
    <w:rsid w:val="00E0231B"/>
    <w:rsid w:val="00E0619A"/>
    <w:rsid w:val="00E1782A"/>
    <w:rsid w:val="00E21BC3"/>
    <w:rsid w:val="00E23A94"/>
    <w:rsid w:val="00E30BB5"/>
    <w:rsid w:val="00E31447"/>
    <w:rsid w:val="00E326A6"/>
    <w:rsid w:val="00E422A2"/>
    <w:rsid w:val="00E46974"/>
    <w:rsid w:val="00E5492A"/>
    <w:rsid w:val="00E6172B"/>
    <w:rsid w:val="00E66A55"/>
    <w:rsid w:val="00E73AAF"/>
    <w:rsid w:val="00E813B7"/>
    <w:rsid w:val="00E82874"/>
    <w:rsid w:val="00E9047D"/>
    <w:rsid w:val="00E9147C"/>
    <w:rsid w:val="00EA0FEF"/>
    <w:rsid w:val="00EA399C"/>
    <w:rsid w:val="00EB4C19"/>
    <w:rsid w:val="00EE6E92"/>
    <w:rsid w:val="00EF03C9"/>
    <w:rsid w:val="00EF0A8C"/>
    <w:rsid w:val="00EF6A28"/>
    <w:rsid w:val="00EF6FBF"/>
    <w:rsid w:val="00F05BF1"/>
    <w:rsid w:val="00F1778E"/>
    <w:rsid w:val="00F233FF"/>
    <w:rsid w:val="00F27C45"/>
    <w:rsid w:val="00F91683"/>
    <w:rsid w:val="00FA17FC"/>
    <w:rsid w:val="00FA1AF2"/>
    <w:rsid w:val="00FB17AC"/>
    <w:rsid w:val="00FC622D"/>
    <w:rsid w:val="00FC758A"/>
    <w:rsid w:val="00FE62A5"/>
    <w:rsid w:val="00FE6A9C"/>
    <w:rsid w:val="00FE6CB8"/>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5:docId w15:val="{D3E02EAA-08DD-49B3-8E34-6CEACAB9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34E"/>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s-ES" w:eastAsia="es-E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s-ES" w:eastAsia="es-E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s-ES" w:eastAsia="es-E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s-ES" w:eastAsia="es-ES"/>
    </w:rPr>
  </w:style>
  <w:style w:type="paragraph" w:customStyle="1" w:styleId="PRAGHeading2">
    <w:name w:val="PRAG Heading 2"/>
    <w:basedOn w:val="Normal"/>
    <w:rsid w:val="00971962"/>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878853815">
      <w:bodyDiv w:val="1"/>
      <w:marLeft w:val="0"/>
      <w:marRight w:val="0"/>
      <w:marTop w:val="0"/>
      <w:marBottom w:val="0"/>
      <w:divBdr>
        <w:top w:val="none" w:sz="0" w:space="0" w:color="auto"/>
        <w:left w:val="none" w:sz="0" w:space="0" w:color="auto"/>
        <w:bottom w:val="none" w:sz="0" w:space="0" w:color="auto"/>
        <w:right w:val="none" w:sz="0" w:space="0" w:color="auto"/>
      </w:divBdr>
    </w:div>
    <w:div w:id="1034690247">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D726-BEB7-4D35-BD59-636BC5A0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3634</Words>
  <Characters>19774</Characters>
  <Application>Microsoft Office Word</Application>
  <DocSecurity>0</DocSecurity>
  <Lines>359</Lines>
  <Paragraphs>201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23207</CharactersWithSpaces>
  <SharedDoc>false</SharedDoc>
  <HLinks>
    <vt:vector size="6" baseType="variant">
      <vt:variant>
        <vt:i4>5243002</vt:i4>
      </vt:variant>
      <vt:variant>
        <vt:i4>0</vt:i4>
      </vt:variant>
      <vt:variant>
        <vt:i4>0</vt:i4>
      </vt:variant>
      <vt:variant>
        <vt:i4>5</vt:i4>
      </vt:variant>
      <vt:variant>
        <vt:lpwstr>http://ec.europa.eu/europeaid/work/procedures/implementation/services/index_en.htm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MORARIU Maria- Claudia (DEVCO)</cp:lastModifiedBy>
  <cp:revision>6</cp:revision>
  <cp:lastPrinted>2008-01-09T15:00:00Z</cp:lastPrinted>
  <dcterms:created xsi:type="dcterms:W3CDTF">2020-04-15T20:12:00Z</dcterms:created>
  <dcterms:modified xsi:type="dcterms:W3CDTF">2020-07-24T14:28:00Z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_AdHocReviewCycleID">
    <vt:i4>-1168960163</vt:i4>
  </property>
  <property fmtid="{D5CDD505-2E9C-101B-9397-08002B2CF9AE}" pid="4" name="_EmailSubject">
    <vt:lpwstr>Annexes and PRAG wiht TC</vt:lpwstr>
  </property>
  <property fmtid="{D5CDD505-2E9C-101B-9397-08002B2CF9AE}" pid="5" name="_AuthorEmail">
    <vt:lpwstr>Agneta.Lindqvist@cec.eu.int</vt:lpwstr>
  </property>
  <property fmtid="{D5CDD505-2E9C-101B-9397-08002B2CF9AE}" pid="6" name="_AuthorEmailDisplayName">
    <vt:lpwstr>LINDQVIST Agneta (AIDCO)</vt:lpwstr>
  </property>
  <property fmtid="{D5CDD505-2E9C-101B-9397-08002B2CF9AE}" pid="7" name="Checked by">
    <vt:lpwstr>duboile</vt:lpwstr>
  </property>
  <property fmtid="{D5CDD505-2E9C-101B-9397-08002B2CF9AE}" pid="8" name="_PreviousAdHocReviewCycleID">
    <vt:i4>-1811115156</vt:i4>
  </property>
  <property fmtid="{D5CDD505-2E9C-101B-9397-08002B2CF9AE}" pid="9" name="_ReviewingToolsShownOnce">
    <vt:lpwstr/>
  </property>
</Properties>
</file>