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4D8" w:rsidRPr="001C618A" w:rsidRDefault="00CF44D8" w:rsidP="00CF44D8">
      <w:pPr>
        <w:tabs>
          <w:tab w:val="left" w:pos="4880"/>
        </w:tabs>
        <w:rPr>
          <w:rFonts w:ascii="Arial" w:hAnsi="Arial"/>
          <w:sz w:val="22"/>
          <w:lang w:val="es-ES"/>
        </w:rPr>
      </w:pP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275"/>
        <w:gridCol w:w="1530"/>
        <w:gridCol w:w="1589"/>
      </w:tblGrid>
      <w:tr w:rsidR="00E67E1E" w:rsidRPr="00534D50" w:rsidTr="00361204">
        <w:trPr>
          <w:cantSplit/>
        </w:trPr>
        <w:tc>
          <w:tcPr>
            <w:tcW w:w="3261" w:type="dxa"/>
            <w:shd w:val="clear" w:color="auto" w:fill="auto"/>
          </w:tcPr>
          <w:p w:rsidR="00E67E1E" w:rsidRPr="001C618A" w:rsidRDefault="00E67E1E" w:rsidP="00574F9C">
            <w:pPr>
              <w:rPr>
                <w:b/>
                <w:sz w:val="22"/>
                <w:szCs w:val="22"/>
                <w:lang w:val="es-ES"/>
              </w:rPr>
            </w:pPr>
          </w:p>
        </w:tc>
        <w:tc>
          <w:tcPr>
            <w:tcW w:w="1276" w:type="dxa"/>
            <w:vAlign w:val="center"/>
          </w:tcPr>
          <w:p w:rsidR="00E67E1E" w:rsidRPr="001C618A" w:rsidRDefault="00E67E1E" w:rsidP="00E67E1E">
            <w:pPr>
              <w:jc w:val="center"/>
              <w:rPr>
                <w:b/>
                <w:sz w:val="22"/>
                <w:szCs w:val="22"/>
                <w:lang w:val="es-ES"/>
              </w:rPr>
            </w:pPr>
            <w:r w:rsidRPr="001C618A">
              <w:rPr>
                <w:b/>
                <w:sz w:val="22"/>
                <w:szCs w:val="22"/>
                <w:lang w:val="es-ES"/>
              </w:rPr>
              <w:t xml:space="preserve">Máximo </w:t>
            </w:r>
          </w:p>
        </w:tc>
        <w:tc>
          <w:tcPr>
            <w:tcW w:w="1275" w:type="dxa"/>
            <w:shd w:val="clear" w:color="auto" w:fill="auto"/>
          </w:tcPr>
          <w:p w:rsidR="00E67E1E" w:rsidRPr="001C618A" w:rsidRDefault="00E67E1E" w:rsidP="00574F9C">
            <w:pPr>
              <w:jc w:val="center"/>
              <w:rPr>
                <w:b/>
                <w:sz w:val="22"/>
                <w:szCs w:val="22"/>
                <w:lang w:val="es-ES"/>
              </w:rPr>
            </w:pPr>
            <w:r w:rsidRPr="001C618A">
              <w:rPr>
                <w:b/>
                <w:sz w:val="22"/>
                <w:szCs w:val="22"/>
                <w:lang w:val="es-ES"/>
              </w:rPr>
              <w:t>Valoración inicial</w:t>
            </w:r>
          </w:p>
        </w:tc>
        <w:tc>
          <w:tcPr>
            <w:tcW w:w="1530" w:type="dxa"/>
            <w:shd w:val="clear" w:color="auto" w:fill="auto"/>
          </w:tcPr>
          <w:p w:rsidR="00E67E1E" w:rsidRPr="001C618A" w:rsidRDefault="00E67E1E" w:rsidP="005851B2">
            <w:pPr>
              <w:jc w:val="center"/>
              <w:rPr>
                <w:b/>
                <w:sz w:val="22"/>
                <w:szCs w:val="22"/>
                <w:lang w:val="es-ES"/>
              </w:rPr>
            </w:pPr>
            <w:r w:rsidRPr="001C618A">
              <w:rPr>
                <w:b/>
                <w:sz w:val="22"/>
                <w:szCs w:val="22"/>
                <w:lang w:val="es-ES"/>
              </w:rPr>
              <w:t xml:space="preserve">Valoración revisada </w:t>
            </w:r>
            <w:r w:rsidRPr="001C618A">
              <w:rPr>
                <w:b/>
                <w:sz w:val="22"/>
                <w:szCs w:val="22"/>
                <w:lang w:val="es-ES"/>
              </w:rPr>
              <w:br/>
              <w:t>[</w:t>
            </w:r>
            <w:r w:rsidRPr="001C618A">
              <w:rPr>
                <w:b/>
                <w:sz w:val="22"/>
                <w:szCs w:val="22"/>
                <w:highlight w:val="lightGray"/>
                <w:lang w:val="es-ES"/>
              </w:rPr>
              <w:t>antes de las entrevistas/</w:t>
            </w:r>
            <w:r w:rsidRPr="001C618A">
              <w:rPr>
                <w:b/>
                <w:sz w:val="22"/>
                <w:szCs w:val="22"/>
                <w:highlight w:val="lightGray"/>
                <w:lang w:val="es-ES"/>
              </w:rPr>
              <w:br/>
              <w:t>referencias*]</w:t>
            </w:r>
          </w:p>
        </w:tc>
        <w:tc>
          <w:tcPr>
            <w:tcW w:w="1589" w:type="dxa"/>
            <w:shd w:val="clear" w:color="auto" w:fill="auto"/>
          </w:tcPr>
          <w:p w:rsidR="00E67E1E" w:rsidRPr="001C618A" w:rsidRDefault="00E67E1E" w:rsidP="005851B2">
            <w:pPr>
              <w:jc w:val="center"/>
              <w:rPr>
                <w:b/>
                <w:sz w:val="22"/>
                <w:szCs w:val="22"/>
                <w:lang w:val="es-ES"/>
              </w:rPr>
            </w:pPr>
            <w:r w:rsidRPr="001C618A">
              <w:rPr>
                <w:b/>
                <w:sz w:val="22"/>
                <w:szCs w:val="22"/>
                <w:lang w:val="es-ES"/>
              </w:rPr>
              <w:t xml:space="preserve">Valoración revisada </w:t>
            </w:r>
            <w:r w:rsidRPr="001C618A">
              <w:rPr>
                <w:b/>
                <w:sz w:val="22"/>
                <w:szCs w:val="22"/>
                <w:lang w:val="es-ES"/>
              </w:rPr>
              <w:br/>
              <w:t>[</w:t>
            </w:r>
            <w:r w:rsidRPr="001C618A">
              <w:rPr>
                <w:b/>
                <w:sz w:val="22"/>
                <w:szCs w:val="22"/>
                <w:highlight w:val="lightGray"/>
                <w:lang w:val="es-ES"/>
              </w:rPr>
              <w:t>después de las entrevistas/</w:t>
            </w:r>
            <w:r w:rsidRPr="001C618A">
              <w:rPr>
                <w:b/>
                <w:sz w:val="22"/>
                <w:szCs w:val="22"/>
                <w:highlight w:val="lightGray"/>
                <w:lang w:val="es-ES"/>
              </w:rPr>
              <w:br/>
              <w:t>referencias*</w:t>
            </w:r>
            <w:r w:rsidRPr="001C618A">
              <w:rPr>
                <w:b/>
                <w:sz w:val="22"/>
                <w:szCs w:val="22"/>
                <w:lang w:val="es-ES"/>
              </w:rPr>
              <w:t>]</w:t>
            </w:r>
          </w:p>
        </w:tc>
      </w:tr>
      <w:tr w:rsidR="00E67E1E" w:rsidRPr="00534D50" w:rsidTr="00361204">
        <w:trPr>
          <w:cantSplit/>
        </w:trPr>
        <w:tc>
          <w:tcPr>
            <w:tcW w:w="3261" w:type="dxa"/>
            <w:shd w:val="clear" w:color="auto" w:fill="auto"/>
          </w:tcPr>
          <w:p w:rsidR="00E67E1E" w:rsidRPr="001C618A" w:rsidRDefault="00E67E1E" w:rsidP="00574F9C">
            <w:pPr>
              <w:rPr>
                <w:sz w:val="22"/>
                <w:szCs w:val="22"/>
                <w:lang w:val="es-ES"/>
              </w:rPr>
            </w:pPr>
          </w:p>
        </w:tc>
        <w:tc>
          <w:tcPr>
            <w:tcW w:w="1276" w:type="dxa"/>
            <w:vAlign w:val="center"/>
          </w:tcPr>
          <w:p w:rsidR="00E67E1E" w:rsidRPr="001C618A" w:rsidRDefault="00E67E1E" w:rsidP="006F349F">
            <w:pPr>
              <w:spacing w:before="80" w:after="80"/>
              <w:jc w:val="center"/>
              <w:rPr>
                <w:b/>
                <w:sz w:val="22"/>
                <w:szCs w:val="22"/>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b/>
                <w:sz w:val="22"/>
                <w:szCs w:val="22"/>
                <w:lang w:val="es-ES"/>
              </w:rPr>
            </w:pPr>
            <w:r w:rsidRPr="001C618A">
              <w:rPr>
                <w:b/>
                <w:sz w:val="22"/>
                <w:szCs w:val="22"/>
                <w:lang w:val="es-ES"/>
              </w:rPr>
              <w:t>Organización y metodología</w:t>
            </w:r>
          </w:p>
        </w:tc>
        <w:tc>
          <w:tcPr>
            <w:tcW w:w="1276" w:type="dxa"/>
            <w:vAlign w:val="center"/>
          </w:tcPr>
          <w:p w:rsidR="00E67E1E" w:rsidRPr="001C618A" w:rsidRDefault="00E67E1E" w:rsidP="006F349F">
            <w:pPr>
              <w:jc w:val="center"/>
              <w:rPr>
                <w:sz w:val="22"/>
                <w:szCs w:val="22"/>
                <w:highlight w:val="lightGray"/>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[Justificación]</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[Estrategia]</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[30]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CF36DB">
            <w:pPr>
              <w:rPr>
                <w:sz w:val="22"/>
                <w:szCs w:val="22"/>
                <w:lang w:val="es-ES"/>
              </w:rPr>
            </w:pPr>
            <w:r w:rsidRPr="001C618A">
              <w:rPr>
                <w:sz w:val="22"/>
                <w:szCs w:val="22"/>
                <w:highlight w:val="lightGray"/>
                <w:lang w:val="es-ES"/>
              </w:rPr>
              <w:t>[Función de respaldo]</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[Participación de todos los miembros del consorcio]</w:t>
            </w:r>
          </w:p>
        </w:tc>
        <w:tc>
          <w:tcPr>
            <w:tcW w:w="1276" w:type="dxa"/>
            <w:vAlign w:val="center"/>
          </w:tcPr>
          <w:p w:rsidR="00E67E1E" w:rsidRPr="001C618A" w:rsidRDefault="00E67E1E" w:rsidP="006F349F">
            <w:pPr>
              <w:spacing w:before="80" w:after="80"/>
              <w:jc w:val="center"/>
              <w:rPr>
                <w:b/>
                <w:sz w:val="22"/>
                <w:szCs w:val="22"/>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[Calendario de actividades, incluido el número de días de expertos propuesto]</w:t>
            </w:r>
          </w:p>
        </w:tc>
        <w:tc>
          <w:tcPr>
            <w:tcW w:w="1276" w:type="dxa"/>
            <w:vAlign w:val="center"/>
          </w:tcPr>
          <w:p w:rsidR="00E67E1E" w:rsidRPr="001C618A" w:rsidRDefault="00E67E1E" w:rsidP="006F349F">
            <w:pPr>
              <w:spacing w:before="80" w:after="80"/>
              <w:jc w:val="center"/>
              <w:rPr>
                <w:b/>
                <w:sz w:val="22"/>
                <w:szCs w:val="22"/>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534D50" w:rsidTr="00361204">
        <w:trPr>
          <w:cantSplit/>
        </w:trPr>
        <w:tc>
          <w:tcPr>
            <w:tcW w:w="3261" w:type="dxa"/>
            <w:shd w:val="clear" w:color="auto" w:fill="CCCCCC"/>
          </w:tcPr>
          <w:p w:rsidR="00E67E1E" w:rsidRPr="001C618A" w:rsidRDefault="00E67E1E" w:rsidP="00CF36DB">
            <w:pPr>
              <w:rPr>
                <w:b/>
                <w:sz w:val="22"/>
                <w:szCs w:val="22"/>
                <w:lang w:val="es-ES"/>
              </w:rPr>
            </w:pPr>
            <w:r w:rsidRPr="001C618A">
              <w:rPr>
                <w:b/>
                <w:sz w:val="22"/>
                <w:szCs w:val="22"/>
                <w:lang w:val="es-ES"/>
              </w:rPr>
              <w:t xml:space="preserve">Puntuación total en cuanto a organización y metodología </w:t>
            </w:r>
          </w:p>
        </w:tc>
        <w:tc>
          <w:tcPr>
            <w:tcW w:w="1276" w:type="dxa"/>
            <w:shd w:val="clear" w:color="auto" w:fill="CCCCCC"/>
            <w:vAlign w:val="center"/>
          </w:tcPr>
          <w:p w:rsidR="00E67E1E" w:rsidRPr="001C618A" w:rsidRDefault="00E67E1E" w:rsidP="006F349F">
            <w:pPr>
              <w:spacing w:before="40" w:after="40"/>
              <w:jc w:val="center"/>
              <w:rPr>
                <w:b/>
                <w:sz w:val="22"/>
                <w:szCs w:val="22"/>
                <w:lang w:val="es-ES"/>
              </w:rPr>
            </w:pPr>
            <w:r w:rsidRPr="001C618A">
              <w:rPr>
                <w:b/>
                <w:sz w:val="22"/>
                <w:szCs w:val="22"/>
                <w:lang w:val="es-ES"/>
              </w:rPr>
              <w:t>[</w:t>
            </w:r>
            <w:r w:rsidRPr="001C618A">
              <w:rPr>
                <w:b/>
                <w:sz w:val="22"/>
                <w:szCs w:val="22"/>
                <w:highlight w:val="lightGray"/>
                <w:lang w:val="es-ES"/>
              </w:rPr>
              <w:t>60</w:t>
            </w:r>
            <w:r w:rsidRPr="001C618A">
              <w:rPr>
                <w:b/>
                <w:sz w:val="22"/>
                <w:szCs w:val="22"/>
                <w:lang w:val="es-ES"/>
              </w:rPr>
              <w:t>] [</w:t>
            </w:r>
            <w:r w:rsidRPr="001C618A">
              <w:rPr>
                <w:b/>
                <w:sz w:val="22"/>
                <w:szCs w:val="22"/>
                <w:highlight w:val="lightGray"/>
                <w:lang w:val="es-ES"/>
              </w:rPr>
              <w:t>&lt;</w:t>
            </w:r>
            <w:r w:rsidRPr="001C618A">
              <w:rPr>
                <w:sz w:val="22"/>
                <w:szCs w:val="22"/>
                <w:highlight w:val="yellow"/>
                <w:lang w:val="es-ES"/>
              </w:rPr>
              <w:t>inserte una puntuación entre 60 y 40</w:t>
            </w:r>
            <w:r w:rsidRPr="001C618A">
              <w:rPr>
                <w:b/>
                <w:sz w:val="22"/>
                <w:szCs w:val="22"/>
                <w:highlight w:val="lightGray"/>
                <w:lang w:val="es-ES"/>
              </w:rPr>
              <w:t>&gt;</w:t>
            </w:r>
            <w:r w:rsidRPr="001C618A">
              <w:rPr>
                <w:b/>
                <w:sz w:val="22"/>
                <w:szCs w:val="22"/>
                <w:lang w:val="es-ES"/>
              </w:rPr>
              <w:t>]</w:t>
            </w:r>
          </w:p>
        </w:tc>
        <w:tc>
          <w:tcPr>
            <w:tcW w:w="1275" w:type="dxa"/>
            <w:shd w:val="clear" w:color="auto" w:fill="CCCCCC"/>
          </w:tcPr>
          <w:p w:rsidR="00E67E1E" w:rsidRPr="001C618A" w:rsidRDefault="00E67E1E" w:rsidP="00574F9C">
            <w:pPr>
              <w:jc w:val="center"/>
              <w:rPr>
                <w:b/>
                <w:sz w:val="22"/>
                <w:szCs w:val="22"/>
                <w:lang w:val="es-ES"/>
              </w:rPr>
            </w:pPr>
          </w:p>
        </w:tc>
        <w:tc>
          <w:tcPr>
            <w:tcW w:w="1530" w:type="dxa"/>
            <w:shd w:val="clear" w:color="auto" w:fill="CCCCCC"/>
          </w:tcPr>
          <w:p w:rsidR="00E67E1E" w:rsidRPr="001C618A" w:rsidRDefault="00E67E1E" w:rsidP="00574F9C">
            <w:pPr>
              <w:jc w:val="center"/>
              <w:rPr>
                <w:b/>
                <w:sz w:val="22"/>
                <w:szCs w:val="22"/>
                <w:lang w:val="es-ES"/>
              </w:rPr>
            </w:pPr>
          </w:p>
        </w:tc>
        <w:tc>
          <w:tcPr>
            <w:tcW w:w="1589" w:type="dxa"/>
            <w:shd w:val="clear" w:color="auto" w:fill="CCCCCC"/>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b/>
                <w:sz w:val="22"/>
                <w:szCs w:val="22"/>
                <w:lang w:val="es-ES"/>
              </w:rPr>
            </w:pPr>
            <w:r w:rsidRPr="001C618A">
              <w:rPr>
                <w:b/>
                <w:sz w:val="22"/>
                <w:szCs w:val="22"/>
                <w:lang w:val="es-ES"/>
              </w:rPr>
              <w:t>Expertos principales</w:t>
            </w:r>
          </w:p>
        </w:tc>
        <w:tc>
          <w:tcPr>
            <w:tcW w:w="1276" w:type="dxa"/>
            <w:vAlign w:val="center"/>
          </w:tcPr>
          <w:p w:rsidR="00E67E1E" w:rsidRPr="001C618A" w:rsidRDefault="00E67E1E" w:rsidP="006F349F">
            <w:pPr>
              <w:jc w:val="center"/>
              <w:rPr>
                <w:sz w:val="22"/>
                <w:szCs w:val="22"/>
                <w:highlight w:val="lightGray"/>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b/>
                <w:sz w:val="22"/>
                <w:szCs w:val="22"/>
                <w:lang w:val="es-ES"/>
              </w:rPr>
            </w:pPr>
            <w:r w:rsidRPr="001C618A">
              <w:rPr>
                <w:b/>
                <w:sz w:val="22"/>
                <w:szCs w:val="22"/>
                <w:lang w:val="es-ES"/>
              </w:rPr>
              <w:t>&lt;</w:t>
            </w:r>
            <w:r w:rsidRPr="001C618A">
              <w:rPr>
                <w:b/>
                <w:sz w:val="22"/>
                <w:szCs w:val="22"/>
                <w:highlight w:val="yellow"/>
                <w:lang w:val="es-ES"/>
              </w:rPr>
              <w:t>Experto principal 1</w:t>
            </w:r>
            <w:r w:rsidRPr="001C618A">
              <w:rPr>
                <w:b/>
                <w:sz w:val="22"/>
                <w:szCs w:val="22"/>
                <w:lang w:val="es-ES"/>
              </w:rPr>
              <w:t>&gt; (Máx. [</w:t>
            </w:r>
            <w:r w:rsidRPr="001C618A">
              <w:rPr>
                <w:b/>
                <w:sz w:val="22"/>
                <w:szCs w:val="22"/>
                <w:highlight w:val="lightGray"/>
                <w:lang w:val="es-ES"/>
              </w:rPr>
              <w:t>20][&lt;</w:t>
            </w:r>
            <w:r w:rsidRPr="001C618A">
              <w:rPr>
                <w:sz w:val="22"/>
                <w:szCs w:val="22"/>
                <w:highlight w:val="yellow"/>
                <w:lang w:val="es-ES"/>
              </w:rPr>
              <w:t>tot.</w:t>
            </w:r>
            <w:r w:rsidRPr="001C618A">
              <w:rPr>
                <w:b/>
                <w:sz w:val="22"/>
                <w:szCs w:val="22"/>
                <w:highlight w:val="lightGray"/>
                <w:lang w:val="es-ES"/>
              </w:rPr>
              <w:t>&gt;]</w:t>
            </w:r>
            <w:r w:rsidRPr="001C618A">
              <w:rPr>
                <w:b/>
                <w:sz w:val="22"/>
                <w:szCs w:val="22"/>
                <w:lang w:val="es-ES"/>
              </w:rPr>
              <w:t xml:space="preserve"> puntos)</w:t>
            </w:r>
          </w:p>
        </w:tc>
        <w:tc>
          <w:tcPr>
            <w:tcW w:w="1276" w:type="dxa"/>
            <w:vAlign w:val="center"/>
          </w:tcPr>
          <w:p w:rsidR="00E67E1E" w:rsidRPr="001C618A" w:rsidRDefault="00E67E1E" w:rsidP="006F349F">
            <w:pPr>
              <w:spacing w:before="40" w:after="40"/>
              <w:jc w:val="center"/>
              <w:rPr>
                <w:b/>
                <w:sz w:val="22"/>
                <w:szCs w:val="22"/>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[Cualificaciones y competencias]</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general]</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específica]</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E67E1E">
            <w:pPr>
              <w:rPr>
                <w:b/>
                <w:sz w:val="22"/>
                <w:szCs w:val="22"/>
                <w:lang w:val="es-ES"/>
              </w:rPr>
            </w:pPr>
            <w:r w:rsidRPr="001C618A">
              <w:rPr>
                <w:b/>
                <w:sz w:val="22"/>
                <w:szCs w:val="22"/>
                <w:lang w:val="es-ES"/>
              </w:rPr>
              <w:t>&lt;</w:t>
            </w:r>
            <w:r w:rsidRPr="001C618A">
              <w:rPr>
                <w:b/>
                <w:sz w:val="22"/>
                <w:szCs w:val="22"/>
                <w:highlight w:val="yellow"/>
                <w:lang w:val="es-ES"/>
              </w:rPr>
              <w:t>Experto principal 2</w:t>
            </w:r>
            <w:r w:rsidRPr="001C618A">
              <w:rPr>
                <w:b/>
                <w:sz w:val="22"/>
                <w:szCs w:val="22"/>
                <w:lang w:val="es-ES"/>
              </w:rPr>
              <w:t>&gt; (Máx [</w:t>
            </w:r>
            <w:r w:rsidRPr="001C618A">
              <w:rPr>
                <w:b/>
                <w:sz w:val="22"/>
                <w:szCs w:val="22"/>
                <w:highlight w:val="lightGray"/>
                <w:lang w:val="es-ES"/>
              </w:rPr>
              <w:t>20][&lt;</w:t>
            </w:r>
            <w:r w:rsidRPr="001C618A">
              <w:rPr>
                <w:sz w:val="22"/>
                <w:szCs w:val="22"/>
                <w:highlight w:val="yellow"/>
                <w:lang w:val="es-ES"/>
              </w:rPr>
              <w:t>tot.</w:t>
            </w:r>
            <w:r w:rsidRPr="001C618A">
              <w:rPr>
                <w:b/>
                <w:sz w:val="22"/>
                <w:szCs w:val="22"/>
                <w:highlight w:val="lightGray"/>
                <w:lang w:val="es-ES"/>
              </w:rPr>
              <w:t>&gt;]</w:t>
            </w:r>
            <w:r w:rsidRPr="001C618A">
              <w:rPr>
                <w:b/>
                <w:sz w:val="22"/>
                <w:szCs w:val="22"/>
                <w:lang w:val="es-ES"/>
              </w:rPr>
              <w:t xml:space="preserve"> puntos)</w:t>
            </w:r>
          </w:p>
        </w:tc>
        <w:tc>
          <w:tcPr>
            <w:tcW w:w="1276" w:type="dxa"/>
            <w:vAlign w:val="center"/>
          </w:tcPr>
          <w:p w:rsidR="00E67E1E" w:rsidRPr="001C618A" w:rsidRDefault="00E67E1E" w:rsidP="006F349F">
            <w:pPr>
              <w:spacing w:before="120" w:after="120"/>
              <w:jc w:val="center"/>
              <w:rPr>
                <w:b/>
                <w:sz w:val="22"/>
                <w:szCs w:val="22"/>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[Cualificaciones y competencias]</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general]</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específica]</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534D50" w:rsidTr="00361204">
        <w:trPr>
          <w:cantSplit/>
        </w:trPr>
        <w:tc>
          <w:tcPr>
            <w:tcW w:w="3261" w:type="dxa"/>
            <w:shd w:val="clear" w:color="auto" w:fill="CCCCCC"/>
          </w:tcPr>
          <w:p w:rsidR="00E67E1E" w:rsidRPr="001C618A" w:rsidRDefault="00E67E1E" w:rsidP="00574F9C">
            <w:pPr>
              <w:rPr>
                <w:b/>
                <w:sz w:val="22"/>
                <w:szCs w:val="22"/>
                <w:lang w:val="es-ES"/>
              </w:rPr>
            </w:pPr>
            <w:r w:rsidRPr="001C618A">
              <w:rPr>
                <w:b/>
                <w:sz w:val="22"/>
                <w:szCs w:val="22"/>
                <w:lang w:val="es-ES"/>
              </w:rPr>
              <w:t>Puntuación total de los expertos principales</w:t>
            </w:r>
          </w:p>
        </w:tc>
        <w:tc>
          <w:tcPr>
            <w:tcW w:w="1276" w:type="dxa"/>
            <w:shd w:val="clear" w:color="auto" w:fill="CCCCCC"/>
          </w:tcPr>
          <w:p w:rsidR="00E67E1E" w:rsidRPr="001C618A" w:rsidRDefault="00E67E1E" w:rsidP="00574F9C">
            <w:pPr>
              <w:jc w:val="center"/>
              <w:rPr>
                <w:b/>
                <w:sz w:val="22"/>
                <w:szCs w:val="22"/>
                <w:lang w:val="es-ES"/>
              </w:rPr>
            </w:pPr>
            <w:r w:rsidRPr="001C618A">
              <w:rPr>
                <w:b/>
                <w:sz w:val="22"/>
                <w:szCs w:val="22"/>
                <w:lang w:val="es-ES"/>
              </w:rPr>
              <w:t>[</w:t>
            </w:r>
            <w:r w:rsidRPr="001C618A">
              <w:rPr>
                <w:b/>
                <w:sz w:val="22"/>
                <w:szCs w:val="22"/>
                <w:highlight w:val="lightGray"/>
                <w:lang w:val="es-ES"/>
              </w:rPr>
              <w:t>40</w:t>
            </w:r>
            <w:r w:rsidRPr="001C618A">
              <w:rPr>
                <w:b/>
                <w:sz w:val="22"/>
                <w:szCs w:val="22"/>
                <w:lang w:val="es-ES"/>
              </w:rPr>
              <w:t>]</w:t>
            </w:r>
            <w:r w:rsidRPr="001C618A">
              <w:rPr>
                <w:b/>
                <w:sz w:val="22"/>
                <w:szCs w:val="22"/>
                <w:highlight w:val="lightGray"/>
                <w:lang w:val="es-ES"/>
              </w:rPr>
              <w:t xml:space="preserve"> [&lt;</w:t>
            </w:r>
            <w:r w:rsidRPr="001C618A">
              <w:rPr>
                <w:sz w:val="22"/>
                <w:szCs w:val="22"/>
                <w:highlight w:val="yellow"/>
                <w:lang w:val="es-ES"/>
              </w:rPr>
              <w:t>inserte una puntuación entre 40 y 60</w:t>
            </w:r>
            <w:r w:rsidRPr="001C618A">
              <w:rPr>
                <w:b/>
                <w:sz w:val="22"/>
                <w:szCs w:val="22"/>
                <w:highlight w:val="lightGray"/>
                <w:lang w:val="es-ES"/>
              </w:rPr>
              <w:t>&gt;</w:t>
            </w:r>
            <w:r w:rsidRPr="001C618A">
              <w:rPr>
                <w:b/>
                <w:sz w:val="22"/>
                <w:szCs w:val="22"/>
                <w:lang w:val="es-ES"/>
              </w:rPr>
              <w:t>]</w:t>
            </w:r>
          </w:p>
        </w:tc>
        <w:tc>
          <w:tcPr>
            <w:tcW w:w="1275" w:type="dxa"/>
            <w:shd w:val="clear" w:color="auto" w:fill="CCCCCC"/>
          </w:tcPr>
          <w:p w:rsidR="00E67E1E" w:rsidRPr="001C618A" w:rsidRDefault="00E67E1E" w:rsidP="00574F9C">
            <w:pPr>
              <w:jc w:val="center"/>
              <w:rPr>
                <w:b/>
                <w:sz w:val="22"/>
                <w:szCs w:val="22"/>
                <w:lang w:val="es-ES"/>
              </w:rPr>
            </w:pPr>
          </w:p>
        </w:tc>
        <w:tc>
          <w:tcPr>
            <w:tcW w:w="1530" w:type="dxa"/>
            <w:shd w:val="clear" w:color="auto" w:fill="CCCCCC"/>
          </w:tcPr>
          <w:p w:rsidR="00E67E1E" w:rsidRPr="001C618A" w:rsidRDefault="00E67E1E" w:rsidP="00574F9C">
            <w:pPr>
              <w:jc w:val="center"/>
              <w:rPr>
                <w:b/>
                <w:sz w:val="22"/>
                <w:szCs w:val="22"/>
                <w:lang w:val="es-ES"/>
              </w:rPr>
            </w:pPr>
          </w:p>
        </w:tc>
        <w:tc>
          <w:tcPr>
            <w:tcW w:w="1589" w:type="dxa"/>
            <w:shd w:val="clear" w:color="auto" w:fill="CCCCCC"/>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6A6A6"/>
          </w:tcPr>
          <w:p w:rsidR="00E67E1E" w:rsidRPr="001C618A" w:rsidRDefault="00E67E1E" w:rsidP="00574F9C">
            <w:pPr>
              <w:rPr>
                <w:b/>
                <w:sz w:val="22"/>
                <w:szCs w:val="22"/>
                <w:lang w:val="es-ES"/>
              </w:rPr>
            </w:pPr>
            <w:r w:rsidRPr="001C618A">
              <w:rPr>
                <w:b/>
                <w:sz w:val="22"/>
                <w:szCs w:val="22"/>
                <w:lang w:val="es-ES"/>
              </w:rPr>
              <w:t>Puntu</w:t>
            </w:r>
            <w:bookmarkStart w:id="0" w:name="_GoBack"/>
            <w:bookmarkEnd w:id="0"/>
            <w:r w:rsidRPr="001C618A">
              <w:rPr>
                <w:b/>
                <w:sz w:val="22"/>
                <w:szCs w:val="22"/>
                <w:lang w:val="es-ES"/>
              </w:rPr>
              <w:t>ación total global</w:t>
            </w:r>
          </w:p>
        </w:tc>
        <w:tc>
          <w:tcPr>
            <w:tcW w:w="1276" w:type="dxa"/>
            <w:shd w:val="clear" w:color="auto" w:fill="A6A6A6"/>
          </w:tcPr>
          <w:p w:rsidR="00E67E1E" w:rsidRPr="001C618A" w:rsidRDefault="00E67E1E" w:rsidP="00574F9C">
            <w:pPr>
              <w:jc w:val="center"/>
              <w:rPr>
                <w:b/>
                <w:sz w:val="22"/>
                <w:szCs w:val="22"/>
                <w:lang w:val="es-ES"/>
              </w:rPr>
            </w:pPr>
            <w:r w:rsidRPr="001C618A">
              <w:rPr>
                <w:b/>
                <w:sz w:val="22"/>
                <w:szCs w:val="22"/>
                <w:lang w:val="es-ES"/>
              </w:rPr>
              <w:t>100</w:t>
            </w:r>
          </w:p>
        </w:tc>
        <w:tc>
          <w:tcPr>
            <w:tcW w:w="1275" w:type="dxa"/>
            <w:shd w:val="clear" w:color="auto" w:fill="A6A6A6"/>
          </w:tcPr>
          <w:p w:rsidR="00E67E1E" w:rsidRPr="001C618A" w:rsidRDefault="00E67E1E" w:rsidP="00574F9C">
            <w:pPr>
              <w:jc w:val="center"/>
              <w:rPr>
                <w:b/>
                <w:sz w:val="22"/>
                <w:szCs w:val="22"/>
                <w:lang w:val="es-ES"/>
              </w:rPr>
            </w:pPr>
          </w:p>
        </w:tc>
        <w:tc>
          <w:tcPr>
            <w:tcW w:w="1530" w:type="dxa"/>
            <w:shd w:val="clear" w:color="auto" w:fill="A6A6A6"/>
          </w:tcPr>
          <w:p w:rsidR="00E67E1E" w:rsidRPr="001C618A" w:rsidRDefault="00E67E1E" w:rsidP="00574F9C">
            <w:pPr>
              <w:jc w:val="center"/>
              <w:rPr>
                <w:b/>
                <w:sz w:val="22"/>
                <w:szCs w:val="22"/>
                <w:lang w:val="es-ES"/>
              </w:rPr>
            </w:pPr>
          </w:p>
        </w:tc>
        <w:tc>
          <w:tcPr>
            <w:tcW w:w="1589" w:type="dxa"/>
            <w:shd w:val="clear" w:color="auto" w:fill="A6A6A6"/>
          </w:tcPr>
          <w:p w:rsidR="00E67E1E" w:rsidRPr="001C618A" w:rsidRDefault="00E67E1E" w:rsidP="00574F9C">
            <w:pPr>
              <w:jc w:val="center"/>
              <w:rPr>
                <w:b/>
                <w:sz w:val="22"/>
                <w:szCs w:val="22"/>
                <w:lang w:val="es-ES"/>
              </w:rPr>
            </w:pPr>
          </w:p>
        </w:tc>
      </w:tr>
    </w:tbl>
    <w:p w:rsidR="00463F40" w:rsidRPr="001C618A" w:rsidRDefault="00463F40">
      <w:pPr>
        <w:rPr>
          <w:b/>
          <w:sz w:val="22"/>
          <w:szCs w:val="22"/>
          <w:lang w:val="es-ES"/>
        </w:rPr>
      </w:pPr>
      <w:r w:rsidRPr="001C618A">
        <w:rPr>
          <w:b/>
          <w:sz w:val="22"/>
          <w:szCs w:val="22"/>
          <w:lang w:val="es-ES"/>
        </w:rPr>
        <w:lastRenderedPageBreak/>
        <w:t xml:space="preserve">* </w:t>
      </w:r>
      <w:r w:rsidR="00574F9C" w:rsidRPr="001C618A">
        <w:rPr>
          <w:b/>
          <w:sz w:val="18"/>
          <w:szCs w:val="18"/>
          <w:lang w:val="es-ES"/>
        </w:rPr>
        <w:t xml:space="preserve">En el supuesto </w:t>
      </w:r>
      <w:r w:rsidR="00D86CAC" w:rsidRPr="001C618A">
        <w:rPr>
          <w:b/>
          <w:sz w:val="18"/>
          <w:szCs w:val="18"/>
          <w:lang w:val="es-ES"/>
        </w:rPr>
        <w:t xml:space="preserve">de </w:t>
      </w:r>
      <w:r w:rsidR="00574F9C" w:rsidRPr="001C618A">
        <w:rPr>
          <w:b/>
          <w:sz w:val="18"/>
          <w:szCs w:val="18"/>
          <w:lang w:val="es-ES"/>
        </w:rPr>
        <w:t>que se celebren entrevistas</w:t>
      </w:r>
      <w:r w:rsidR="00CF44D8" w:rsidRPr="001C618A">
        <w:rPr>
          <w:b/>
          <w:sz w:val="18"/>
          <w:szCs w:val="18"/>
          <w:lang w:val="es-ES"/>
        </w:rPr>
        <w:t xml:space="preserve"> y se verifiquen las referencias</w:t>
      </w:r>
    </w:p>
    <w:p w:rsidR="00463F40" w:rsidRPr="001C618A" w:rsidRDefault="00463F40">
      <w:pPr>
        <w:rPr>
          <w:b/>
          <w:sz w:val="22"/>
          <w:szCs w:val="22"/>
          <w:lang w:val="es-ES"/>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2"/>
        <w:gridCol w:w="7305"/>
      </w:tblGrid>
      <w:tr w:rsidR="00574F9C" w:rsidRPr="001C618A" w:rsidTr="00574F9C">
        <w:trPr>
          <w:trHeight w:val="379"/>
          <w:jc w:val="center"/>
        </w:trPr>
        <w:tc>
          <w:tcPr>
            <w:tcW w:w="1592" w:type="dxa"/>
            <w:shd w:val="pct10" w:color="auto" w:fill="FFFFFF"/>
          </w:tcPr>
          <w:p w:rsidR="00574F9C" w:rsidRPr="001C618A" w:rsidRDefault="00574F9C" w:rsidP="00574F9C">
            <w:pPr>
              <w:spacing w:before="120" w:after="120"/>
              <w:rPr>
                <w:b/>
                <w:sz w:val="20"/>
                <w:lang w:val="es-ES"/>
              </w:rPr>
            </w:pPr>
            <w:r w:rsidRPr="001C618A">
              <w:rPr>
                <w:b/>
                <w:sz w:val="20"/>
                <w:lang w:val="es-ES"/>
              </w:rPr>
              <w:t>Puntos fuertes</w:t>
            </w:r>
          </w:p>
        </w:tc>
        <w:tc>
          <w:tcPr>
            <w:tcW w:w="7305" w:type="dxa"/>
            <w:vAlign w:val="center"/>
          </w:tcPr>
          <w:p w:rsidR="00574F9C" w:rsidRPr="001C618A" w:rsidRDefault="00574F9C">
            <w:pPr>
              <w:spacing w:before="40" w:after="40"/>
              <w:rPr>
                <w:sz w:val="22"/>
                <w:szCs w:val="22"/>
                <w:lang w:val="es-ES"/>
              </w:rPr>
            </w:pPr>
          </w:p>
        </w:tc>
      </w:tr>
      <w:tr w:rsidR="00463F40" w:rsidRPr="001C618A" w:rsidTr="00574F9C">
        <w:trPr>
          <w:jc w:val="center"/>
        </w:trPr>
        <w:tc>
          <w:tcPr>
            <w:tcW w:w="1592" w:type="dxa"/>
            <w:shd w:val="pct10" w:color="auto" w:fill="FFFFFF"/>
            <w:vAlign w:val="center"/>
          </w:tcPr>
          <w:p w:rsidR="00463F40" w:rsidRPr="001C618A" w:rsidRDefault="00574F9C">
            <w:pPr>
              <w:spacing w:before="120" w:after="120"/>
              <w:rPr>
                <w:b/>
                <w:sz w:val="22"/>
                <w:szCs w:val="22"/>
                <w:lang w:val="es-ES"/>
              </w:rPr>
            </w:pPr>
            <w:r w:rsidRPr="001C618A">
              <w:rPr>
                <w:b/>
                <w:sz w:val="20"/>
                <w:lang w:val="es-ES"/>
              </w:rPr>
              <w:t>Puntos débiles</w:t>
            </w:r>
          </w:p>
        </w:tc>
        <w:tc>
          <w:tcPr>
            <w:tcW w:w="7305" w:type="dxa"/>
            <w:vAlign w:val="center"/>
          </w:tcPr>
          <w:p w:rsidR="00463F40" w:rsidRPr="001C618A" w:rsidRDefault="00463F40">
            <w:pPr>
              <w:spacing w:before="40" w:after="40"/>
              <w:rPr>
                <w:sz w:val="22"/>
                <w:szCs w:val="22"/>
                <w:lang w:val="es-ES"/>
              </w:rPr>
            </w:pPr>
          </w:p>
        </w:tc>
      </w:tr>
    </w:tbl>
    <w:p w:rsidR="00463F40" w:rsidRPr="001C618A" w:rsidRDefault="00463F40">
      <w:pPr>
        <w:rPr>
          <w:sz w:val="22"/>
          <w:szCs w:val="22"/>
          <w:lang w:val="es-ES"/>
        </w:rPr>
      </w:pPr>
    </w:p>
    <w:p w:rsidR="00463F40" w:rsidRPr="001C618A" w:rsidRDefault="00574F9C" w:rsidP="00AA6262">
      <w:pPr>
        <w:keepNext/>
        <w:keepLines/>
        <w:spacing w:after="120"/>
        <w:ind w:left="-284"/>
        <w:rPr>
          <w:b/>
          <w:sz w:val="22"/>
          <w:szCs w:val="22"/>
          <w:lang w:val="es-ES"/>
        </w:rPr>
      </w:pPr>
      <w:r w:rsidRPr="001C618A">
        <w:rPr>
          <w:b/>
          <w:sz w:val="22"/>
          <w:lang w:val="es-ES"/>
        </w:rPr>
        <w:t>Evaluación llevada a cabo por:</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1C618A" w:rsidTr="00AA6262">
        <w:trPr>
          <w:trHeight w:val="275"/>
        </w:trPr>
        <w:tc>
          <w:tcPr>
            <w:tcW w:w="1242" w:type="dxa"/>
            <w:shd w:val="pct10" w:color="auto" w:fill="FFFFFF"/>
          </w:tcPr>
          <w:p w:rsidR="00463F40" w:rsidRPr="001C618A" w:rsidRDefault="00574F9C" w:rsidP="00AA6262">
            <w:pPr>
              <w:keepNext/>
              <w:keepLines/>
              <w:spacing w:before="80" w:after="80"/>
              <w:rPr>
                <w:b/>
                <w:sz w:val="22"/>
                <w:szCs w:val="22"/>
                <w:lang w:val="es-ES"/>
              </w:rPr>
            </w:pPr>
            <w:r w:rsidRPr="001C618A">
              <w:rPr>
                <w:b/>
                <w:sz w:val="20"/>
                <w:lang w:val="es-ES"/>
              </w:rPr>
              <w:t>Nombre</w:t>
            </w:r>
          </w:p>
        </w:tc>
        <w:tc>
          <w:tcPr>
            <w:tcW w:w="5103" w:type="dxa"/>
          </w:tcPr>
          <w:p w:rsidR="00463F40" w:rsidRPr="001C618A" w:rsidRDefault="00463F40" w:rsidP="00AA6262">
            <w:pPr>
              <w:keepNext/>
              <w:keepLines/>
              <w:spacing w:before="80" w:after="80"/>
              <w:rPr>
                <w:sz w:val="22"/>
                <w:szCs w:val="22"/>
                <w:lang w:val="es-ES"/>
              </w:rPr>
            </w:pPr>
          </w:p>
        </w:tc>
      </w:tr>
      <w:tr w:rsidR="00463F40" w:rsidRPr="001C618A" w:rsidTr="00AA6262">
        <w:tc>
          <w:tcPr>
            <w:tcW w:w="1242" w:type="dxa"/>
            <w:shd w:val="pct10" w:color="auto" w:fill="FFFFFF"/>
          </w:tcPr>
          <w:p w:rsidR="00463F40" w:rsidRPr="001C618A" w:rsidRDefault="00574F9C" w:rsidP="00AA6262">
            <w:pPr>
              <w:keepNext/>
              <w:keepLines/>
              <w:spacing w:before="80" w:after="80"/>
              <w:rPr>
                <w:b/>
                <w:sz w:val="22"/>
                <w:szCs w:val="22"/>
                <w:lang w:val="es-ES"/>
              </w:rPr>
            </w:pPr>
            <w:r w:rsidRPr="001C618A">
              <w:rPr>
                <w:b/>
                <w:sz w:val="20"/>
                <w:lang w:val="es-ES"/>
              </w:rPr>
              <w:t>Firma</w:t>
            </w:r>
          </w:p>
        </w:tc>
        <w:tc>
          <w:tcPr>
            <w:tcW w:w="5103" w:type="dxa"/>
          </w:tcPr>
          <w:p w:rsidR="00463F40" w:rsidRPr="001C618A" w:rsidRDefault="00463F40" w:rsidP="00AA6262">
            <w:pPr>
              <w:keepNext/>
              <w:keepLines/>
              <w:spacing w:before="80" w:after="80"/>
              <w:rPr>
                <w:sz w:val="22"/>
                <w:szCs w:val="22"/>
                <w:lang w:val="es-ES"/>
              </w:rPr>
            </w:pPr>
          </w:p>
        </w:tc>
      </w:tr>
      <w:tr w:rsidR="00463F40" w:rsidRPr="001C618A" w:rsidTr="00AA6262">
        <w:tc>
          <w:tcPr>
            <w:tcW w:w="1242" w:type="dxa"/>
            <w:shd w:val="pct10" w:color="auto" w:fill="FFFFFF"/>
          </w:tcPr>
          <w:p w:rsidR="00463F40" w:rsidRPr="001C618A" w:rsidRDefault="00574F9C" w:rsidP="00AA6262">
            <w:pPr>
              <w:keepNext/>
              <w:keepLines/>
              <w:spacing w:before="80" w:after="80"/>
              <w:rPr>
                <w:b/>
                <w:sz w:val="22"/>
                <w:szCs w:val="22"/>
                <w:lang w:val="es-ES"/>
              </w:rPr>
            </w:pPr>
            <w:r w:rsidRPr="001C618A">
              <w:rPr>
                <w:b/>
                <w:sz w:val="20"/>
                <w:lang w:val="es-ES"/>
              </w:rPr>
              <w:t>Fecha</w:t>
            </w:r>
          </w:p>
        </w:tc>
        <w:tc>
          <w:tcPr>
            <w:tcW w:w="5103" w:type="dxa"/>
          </w:tcPr>
          <w:p w:rsidR="00463F40" w:rsidRPr="001C618A" w:rsidRDefault="00463F40" w:rsidP="00AA6262">
            <w:pPr>
              <w:keepNext/>
              <w:keepLines/>
              <w:spacing w:before="80" w:after="80"/>
              <w:rPr>
                <w:sz w:val="22"/>
                <w:szCs w:val="22"/>
                <w:lang w:val="es-ES"/>
              </w:rPr>
            </w:pPr>
          </w:p>
        </w:tc>
      </w:tr>
    </w:tbl>
    <w:p w:rsidR="00AA6262" w:rsidRPr="001C618A" w:rsidRDefault="00AA6262" w:rsidP="00AA6262">
      <w:pPr>
        <w:spacing w:before="960" w:after="240"/>
        <w:jc w:val="center"/>
        <w:rPr>
          <w:b/>
          <w:sz w:val="28"/>
          <w:szCs w:val="28"/>
          <w:lang w:val="es-ES"/>
        </w:rPr>
      </w:pPr>
    </w:p>
    <w:p w:rsidR="00574F9C" w:rsidRPr="001C618A" w:rsidRDefault="00361204" w:rsidP="00361204">
      <w:pPr>
        <w:spacing w:before="960" w:after="240"/>
        <w:jc w:val="center"/>
        <w:rPr>
          <w:b/>
          <w:szCs w:val="24"/>
          <w:lang w:val="es-ES"/>
        </w:rPr>
      </w:pPr>
      <w:r w:rsidRPr="001C618A">
        <w:rPr>
          <w:b/>
          <w:sz w:val="28"/>
          <w:szCs w:val="28"/>
          <w:lang w:val="es-ES"/>
        </w:rPr>
        <w:br w:type="page"/>
      </w:r>
      <w:r w:rsidR="00574F9C" w:rsidRPr="001C618A">
        <w:rPr>
          <w:b/>
          <w:szCs w:val="24"/>
          <w:lang w:val="es-ES"/>
        </w:rPr>
        <w:lastRenderedPageBreak/>
        <w:t>INSTRUCCIONES Y DIRECTRICES PARA LOS EVALUADORES</w:t>
      </w:r>
      <w:r w:rsidR="00CF44D8" w:rsidRPr="001C618A">
        <w:rPr>
          <w:b/>
          <w:szCs w:val="24"/>
          <w:lang w:val="es-ES"/>
        </w:rPr>
        <w:t xml:space="preserve"> DE UN CONTRATO BASADO EN HONORARIOS</w:t>
      </w:r>
    </w:p>
    <w:p w:rsidR="00574F9C" w:rsidRPr="001C618A" w:rsidRDefault="00574F9C" w:rsidP="00574F9C">
      <w:pPr>
        <w:rPr>
          <w:sz w:val="22"/>
          <w:u w:val="single"/>
          <w:lang w:val="es-ES"/>
        </w:rPr>
      </w:pPr>
    </w:p>
    <w:p w:rsidR="00574F9C" w:rsidRPr="001C618A" w:rsidRDefault="00B41DE9" w:rsidP="00574F9C">
      <w:pPr>
        <w:jc w:val="both"/>
        <w:rPr>
          <w:sz w:val="22"/>
          <w:lang w:val="es-ES"/>
        </w:rPr>
      </w:pPr>
      <w:r w:rsidRPr="001C618A">
        <w:rPr>
          <w:sz w:val="22"/>
          <w:lang w:val="es-ES"/>
        </w:rPr>
        <w:t xml:space="preserve">Cada evaluador </w:t>
      </w:r>
      <w:r w:rsidR="00CF36DB" w:rsidRPr="001C618A">
        <w:rPr>
          <w:sz w:val="22"/>
          <w:lang w:val="es-ES"/>
        </w:rPr>
        <w:t>hará</w:t>
      </w:r>
      <w:r w:rsidRPr="001C618A">
        <w:rPr>
          <w:sz w:val="22"/>
          <w:lang w:val="es-ES"/>
        </w:rPr>
        <w:t xml:space="preserve"> una </w:t>
      </w:r>
      <w:r w:rsidR="00CF36DB" w:rsidRPr="001C618A">
        <w:rPr>
          <w:sz w:val="22"/>
          <w:lang w:val="es-ES"/>
        </w:rPr>
        <w:t>valoración</w:t>
      </w:r>
      <w:r w:rsidRPr="001C618A">
        <w:rPr>
          <w:sz w:val="22"/>
          <w:lang w:val="es-ES"/>
        </w:rPr>
        <w:t xml:space="preserve"> inicial de las ofertas técnicas y otorgar</w:t>
      </w:r>
      <w:r w:rsidR="00CF36DB" w:rsidRPr="001C618A">
        <w:rPr>
          <w:sz w:val="22"/>
          <w:lang w:val="es-ES"/>
        </w:rPr>
        <w:t>á</w:t>
      </w:r>
      <w:r w:rsidRPr="001C618A">
        <w:rPr>
          <w:sz w:val="22"/>
          <w:lang w:val="es-ES"/>
        </w:rPr>
        <w:t xml:space="preserve"> puntuaciones según cada subcriterio, de acuerdo con su </w:t>
      </w:r>
      <w:r w:rsidR="00CF36DB" w:rsidRPr="001C618A">
        <w:rPr>
          <w:sz w:val="22"/>
          <w:lang w:val="es-ES"/>
        </w:rPr>
        <w:t>evaluación</w:t>
      </w:r>
      <w:r w:rsidRPr="001C618A">
        <w:rPr>
          <w:sz w:val="22"/>
          <w:lang w:val="es-ES"/>
        </w:rPr>
        <w:t>.</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Para ello, los evaluadores deberán realizar la evaluación de las ofertas técnicas independientemente, de manera coherente, aplicando la misma metodología, interpretación y entendimiento. Esto no significa necesariamente que las puntuaciones de dos evaluadores diferentes tengan que ser idénticas, sino que cada evaluador aplica los mismos criterios y aporta una opinión motivada en apoyo de la puntuación otorgada por él. A modo de orientación, deberán utilizarse las directrices que figuran a continuación.</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 xml:space="preserve">Cada evaluador deberá ser capaz de justificar sus valoraciones y puntuaciones en una reunión del Comité de Evaluación. Las justificaciones deberán corresponder a la descripción de las necesidades del proyecto según </w:t>
      </w:r>
      <w:r w:rsidR="00D86CAC" w:rsidRPr="001C618A">
        <w:rPr>
          <w:sz w:val="22"/>
          <w:lang w:val="es-ES"/>
        </w:rPr>
        <w:t>el Pliego de Condiciones</w:t>
      </w:r>
      <w:r w:rsidRPr="001C618A">
        <w:rPr>
          <w:sz w:val="22"/>
          <w:lang w:val="es-ES"/>
        </w:rPr>
        <w:t xml:space="preserve"> y, en el caso de expertos principales, también deberán ser acordes a las descripciones de los perfiles incluidas en </w:t>
      </w:r>
      <w:r w:rsidR="00D86CAC" w:rsidRPr="001C618A">
        <w:rPr>
          <w:sz w:val="22"/>
          <w:lang w:val="es-ES"/>
        </w:rPr>
        <w:t>dicho Pliego de Condiciones</w:t>
      </w:r>
      <w:r w:rsidRPr="001C618A">
        <w:rPr>
          <w:sz w:val="22"/>
          <w:lang w:val="es-ES"/>
        </w:rPr>
        <w:t xml:space="preserve">. Los </w:t>
      </w:r>
      <w:r w:rsidR="00D86CAC" w:rsidRPr="001C618A">
        <w:rPr>
          <w:sz w:val="22"/>
          <w:lang w:val="es-ES"/>
        </w:rPr>
        <w:t>e</w:t>
      </w:r>
      <w:r w:rsidRPr="001C618A">
        <w:rPr>
          <w:sz w:val="22"/>
          <w:lang w:val="es-ES"/>
        </w:rPr>
        <w:t>valuadores deberán</w:t>
      </w:r>
      <w:r w:rsidR="00D86CAC" w:rsidRPr="001C618A">
        <w:rPr>
          <w:sz w:val="22"/>
          <w:lang w:val="es-ES"/>
        </w:rPr>
        <w:t>,</w:t>
      </w:r>
      <w:r w:rsidRPr="001C618A">
        <w:rPr>
          <w:sz w:val="22"/>
          <w:lang w:val="es-ES"/>
        </w:rPr>
        <w:t xml:space="preserve"> por lo tanto</w:t>
      </w:r>
      <w:r w:rsidR="00D86CAC" w:rsidRPr="001C618A">
        <w:rPr>
          <w:sz w:val="22"/>
          <w:lang w:val="es-ES"/>
        </w:rPr>
        <w:t>,</w:t>
      </w:r>
      <w:r w:rsidRPr="001C618A">
        <w:rPr>
          <w:sz w:val="22"/>
          <w:lang w:val="es-ES"/>
        </w:rPr>
        <w:t xml:space="preserve"> hacer comentarios en las casillas de «</w:t>
      </w:r>
      <w:r w:rsidR="00D86CAC" w:rsidRPr="001C618A">
        <w:rPr>
          <w:sz w:val="22"/>
          <w:lang w:val="es-ES"/>
        </w:rPr>
        <w:t>puntos fuertes</w:t>
      </w:r>
      <w:r w:rsidRPr="001C618A">
        <w:rPr>
          <w:sz w:val="22"/>
          <w:lang w:val="es-ES"/>
        </w:rPr>
        <w:t xml:space="preserve">» y </w:t>
      </w:r>
      <w:r w:rsidR="001E6F87" w:rsidRPr="001C618A">
        <w:rPr>
          <w:sz w:val="22"/>
          <w:lang w:val="es-ES"/>
        </w:rPr>
        <w:t>«p</w:t>
      </w:r>
      <w:r w:rsidR="00D86CAC" w:rsidRPr="001C618A">
        <w:rPr>
          <w:sz w:val="22"/>
          <w:lang w:val="es-ES"/>
        </w:rPr>
        <w:t>untos débiles</w:t>
      </w:r>
      <w:r w:rsidRPr="001C618A">
        <w:rPr>
          <w:sz w:val="22"/>
          <w:lang w:val="es-ES"/>
        </w:rPr>
        <w:t>».</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Las valoraciones se discutirán en las reuniones de evaluación y cada evaluador podrá hacer ajustes a las valoraciones iniciales, una vez discutidas.</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Si tuviesen lugar entrevistas personales</w:t>
      </w:r>
      <w:r w:rsidR="00FE42D8" w:rsidRPr="001C618A">
        <w:rPr>
          <w:sz w:val="22"/>
          <w:lang w:val="es-ES"/>
        </w:rPr>
        <w:t xml:space="preserve"> o se verificaran las referencias</w:t>
      </w:r>
      <w:r w:rsidRPr="001C618A">
        <w:rPr>
          <w:sz w:val="22"/>
          <w:lang w:val="es-ES"/>
        </w:rPr>
        <w:t xml:space="preserve">, cada evaluador podrá revisar su valoración </w:t>
      </w:r>
      <w:r w:rsidR="00D86CAC" w:rsidRPr="001C618A">
        <w:rPr>
          <w:sz w:val="22"/>
          <w:lang w:val="es-ES"/>
        </w:rPr>
        <w:t>de</w:t>
      </w:r>
      <w:r w:rsidRPr="001C618A">
        <w:rPr>
          <w:sz w:val="22"/>
          <w:lang w:val="es-ES"/>
        </w:rPr>
        <w:t xml:space="preserve"> cada experto principal en base a las mismas.</w:t>
      </w:r>
    </w:p>
    <w:p w:rsidR="00574F9C" w:rsidRPr="001C618A" w:rsidRDefault="00574F9C" w:rsidP="00574F9C">
      <w:pPr>
        <w:jc w:val="both"/>
        <w:rPr>
          <w:sz w:val="22"/>
          <w:lang w:val="es-ES"/>
        </w:rPr>
      </w:pPr>
      <w:r w:rsidRPr="001C618A">
        <w:rPr>
          <w:sz w:val="22"/>
          <w:lang w:val="es-ES"/>
        </w:rPr>
        <w:t xml:space="preserve"> </w:t>
      </w:r>
    </w:p>
    <w:p w:rsidR="00574F9C" w:rsidRPr="001C618A" w:rsidRDefault="00574F9C" w:rsidP="00574F9C">
      <w:pPr>
        <w:jc w:val="both"/>
        <w:rPr>
          <w:sz w:val="22"/>
          <w:lang w:val="es-ES"/>
        </w:rPr>
      </w:pPr>
      <w:r w:rsidRPr="001C618A">
        <w:rPr>
          <w:sz w:val="22"/>
          <w:lang w:val="es-ES"/>
        </w:rPr>
        <w:t xml:space="preserve">Cualquier ajuste o puntuación revisada deberá justificarse y quedar reflejado en el </w:t>
      </w:r>
      <w:r w:rsidR="00CF36DB" w:rsidRPr="001C618A">
        <w:rPr>
          <w:sz w:val="22"/>
          <w:lang w:val="es-ES"/>
        </w:rPr>
        <w:t>i</w:t>
      </w:r>
      <w:r w:rsidRPr="001C618A">
        <w:rPr>
          <w:sz w:val="22"/>
          <w:lang w:val="es-ES"/>
        </w:rPr>
        <w:t xml:space="preserve">nforme de </w:t>
      </w:r>
      <w:r w:rsidR="00CF36DB" w:rsidRPr="001C618A">
        <w:rPr>
          <w:sz w:val="22"/>
          <w:lang w:val="es-ES"/>
        </w:rPr>
        <w:t>e</w:t>
      </w:r>
      <w:r w:rsidRPr="001C618A">
        <w:rPr>
          <w:sz w:val="22"/>
          <w:lang w:val="es-ES"/>
        </w:rPr>
        <w:t>valuación.</w:t>
      </w:r>
    </w:p>
    <w:p w:rsidR="00574F9C" w:rsidRPr="001C618A" w:rsidRDefault="00574F9C" w:rsidP="00574F9C">
      <w:pPr>
        <w:jc w:val="both"/>
        <w:rPr>
          <w:sz w:val="22"/>
          <w:lang w:val="es-ES"/>
        </w:rPr>
      </w:pPr>
    </w:p>
    <w:p w:rsidR="00574F9C" w:rsidRPr="001C618A" w:rsidRDefault="00574F9C" w:rsidP="00574F9C">
      <w:pPr>
        <w:jc w:val="both"/>
        <w:rPr>
          <w:b/>
          <w:sz w:val="22"/>
          <w:szCs w:val="22"/>
          <w:lang w:val="es-ES"/>
        </w:rPr>
      </w:pPr>
      <w:r w:rsidRPr="001C618A">
        <w:rPr>
          <w:b/>
          <w:sz w:val="22"/>
          <w:szCs w:val="22"/>
          <w:lang w:val="es-ES"/>
        </w:rPr>
        <w:t xml:space="preserve">Evaluación </w:t>
      </w:r>
      <w:r w:rsidR="00FE42D8" w:rsidRPr="001C618A">
        <w:rPr>
          <w:b/>
          <w:sz w:val="22"/>
          <w:szCs w:val="22"/>
          <w:lang w:val="es-ES"/>
        </w:rPr>
        <w:t>de la</w:t>
      </w:r>
      <w:r w:rsidRPr="001C618A">
        <w:rPr>
          <w:b/>
          <w:sz w:val="22"/>
          <w:szCs w:val="22"/>
          <w:lang w:val="es-ES"/>
        </w:rPr>
        <w:t xml:space="preserve"> participación de todos los miembros del consorcio:</w:t>
      </w:r>
    </w:p>
    <w:p w:rsidR="00574F9C" w:rsidRPr="001C618A" w:rsidRDefault="00574F9C" w:rsidP="00574F9C">
      <w:pPr>
        <w:jc w:val="both"/>
        <w:rPr>
          <w:sz w:val="22"/>
          <w:szCs w:val="22"/>
          <w:lang w:val="es-ES"/>
        </w:rPr>
      </w:pPr>
    </w:p>
    <w:p w:rsidR="00574F9C" w:rsidRPr="001C618A" w:rsidRDefault="00FE42D8" w:rsidP="00574F9C">
      <w:pPr>
        <w:jc w:val="both"/>
        <w:rPr>
          <w:sz w:val="22"/>
          <w:szCs w:val="22"/>
          <w:lang w:val="es-ES"/>
        </w:rPr>
      </w:pPr>
      <w:r w:rsidRPr="001C618A">
        <w:rPr>
          <w:sz w:val="22"/>
          <w:szCs w:val="22"/>
          <w:lang w:val="es-ES"/>
        </w:rPr>
        <w:t xml:space="preserve">La oferta incluirá una descripción de la aportación de cada uno de los miembros del consorcio y la distribución e interacción de las tareas y responsabilidades entre los miembros del mismo. </w:t>
      </w:r>
      <w:r w:rsidR="00574F9C" w:rsidRPr="001C618A">
        <w:rPr>
          <w:sz w:val="22"/>
          <w:szCs w:val="22"/>
          <w:lang w:val="es-ES"/>
        </w:rPr>
        <w:t xml:space="preserve">Si es una empresa </w:t>
      </w:r>
      <w:r w:rsidRPr="001C618A">
        <w:rPr>
          <w:sz w:val="22"/>
          <w:szCs w:val="22"/>
          <w:lang w:val="es-ES"/>
        </w:rPr>
        <w:t xml:space="preserve">individual </w:t>
      </w:r>
      <w:r w:rsidR="00574F9C" w:rsidRPr="001C618A">
        <w:rPr>
          <w:sz w:val="22"/>
          <w:szCs w:val="22"/>
          <w:lang w:val="es-ES"/>
        </w:rPr>
        <w:t xml:space="preserve">la que hace la oferta, y no un consorcio, deberá asignarse el número máximo de puntos </w:t>
      </w:r>
      <w:r w:rsidRPr="001C618A">
        <w:rPr>
          <w:sz w:val="22"/>
          <w:szCs w:val="22"/>
          <w:lang w:val="es-ES"/>
        </w:rPr>
        <w:t>a «participación del consorcio»</w:t>
      </w:r>
      <w:r w:rsidR="00574F9C" w:rsidRPr="001C618A">
        <w:rPr>
          <w:sz w:val="22"/>
          <w:szCs w:val="22"/>
          <w:lang w:val="es-ES"/>
        </w:rPr>
        <w:t>.</w:t>
      </w:r>
    </w:p>
    <w:p w:rsidR="00FE42D8" w:rsidRPr="001C618A" w:rsidRDefault="00FE42D8" w:rsidP="00574F9C">
      <w:pPr>
        <w:jc w:val="both"/>
        <w:rPr>
          <w:sz w:val="22"/>
          <w:szCs w:val="22"/>
          <w:lang w:val="es-ES"/>
        </w:rPr>
      </w:pPr>
    </w:p>
    <w:p w:rsidR="00FE42D8" w:rsidRPr="001C618A" w:rsidRDefault="00FE42D8" w:rsidP="00FE42D8">
      <w:pPr>
        <w:rPr>
          <w:b/>
          <w:sz w:val="22"/>
          <w:szCs w:val="22"/>
          <w:lang w:val="es-ES"/>
        </w:rPr>
      </w:pPr>
      <w:r w:rsidRPr="001C618A">
        <w:rPr>
          <w:b/>
          <w:sz w:val="22"/>
          <w:szCs w:val="22"/>
          <w:lang w:val="es-ES"/>
        </w:rPr>
        <w:t xml:space="preserve">Evaluación de la función de </w:t>
      </w:r>
      <w:r w:rsidR="00CF36DB" w:rsidRPr="001C618A">
        <w:rPr>
          <w:b/>
          <w:sz w:val="22"/>
          <w:szCs w:val="22"/>
          <w:lang w:val="es-ES"/>
        </w:rPr>
        <w:t>respaldo</w:t>
      </w:r>
      <w:r w:rsidRPr="001C618A">
        <w:rPr>
          <w:b/>
          <w:sz w:val="22"/>
          <w:szCs w:val="22"/>
          <w:lang w:val="es-ES"/>
        </w:rPr>
        <w:t>:</w:t>
      </w:r>
    </w:p>
    <w:p w:rsidR="00FE42D8" w:rsidRPr="001C618A" w:rsidRDefault="00FE42D8" w:rsidP="00FE42D8">
      <w:pPr>
        <w:rPr>
          <w:b/>
          <w:sz w:val="22"/>
          <w:szCs w:val="22"/>
          <w:lang w:val="es-ES"/>
        </w:rPr>
      </w:pPr>
    </w:p>
    <w:p w:rsidR="00FE42D8" w:rsidRPr="001C618A" w:rsidRDefault="00FE42D8" w:rsidP="00FE42D8">
      <w:pPr>
        <w:jc w:val="both"/>
        <w:rPr>
          <w:sz w:val="22"/>
          <w:szCs w:val="22"/>
          <w:lang w:val="es-ES"/>
        </w:rPr>
      </w:pPr>
      <w:r w:rsidRPr="001C618A">
        <w:rPr>
          <w:sz w:val="22"/>
          <w:szCs w:val="22"/>
          <w:lang w:val="es-ES"/>
        </w:rPr>
        <w:t>El licitador ofrecerá una descripción de los servicios de apoyo (</w:t>
      </w:r>
      <w:r w:rsidRPr="001C618A">
        <w:rPr>
          <w:i/>
          <w:sz w:val="22"/>
          <w:szCs w:val="22"/>
          <w:lang w:val="es-ES"/>
        </w:rPr>
        <w:t>back-stopping</w:t>
      </w:r>
      <w:r w:rsidRPr="001C618A">
        <w:rPr>
          <w:sz w:val="22"/>
          <w:szCs w:val="22"/>
          <w:lang w:val="es-ES"/>
        </w:rPr>
        <w:t>) que tiene previsto brindar a su equipo de expertos durante la ejecución del contrato.</w:t>
      </w:r>
    </w:p>
    <w:p w:rsidR="00FE42D8" w:rsidRPr="001C618A" w:rsidRDefault="00FE42D8" w:rsidP="00FE42D8">
      <w:pPr>
        <w:jc w:val="both"/>
        <w:rPr>
          <w:sz w:val="22"/>
          <w:szCs w:val="22"/>
          <w:lang w:val="es-ES"/>
        </w:rPr>
      </w:pPr>
    </w:p>
    <w:p w:rsidR="00FE42D8" w:rsidRPr="001C618A" w:rsidRDefault="00FE42D8" w:rsidP="00FE42D8">
      <w:pPr>
        <w:jc w:val="both"/>
        <w:rPr>
          <w:sz w:val="22"/>
          <w:szCs w:val="22"/>
          <w:lang w:val="es-ES"/>
        </w:rPr>
      </w:pPr>
      <w:r w:rsidRPr="001C618A">
        <w:rPr>
          <w:sz w:val="22"/>
          <w:szCs w:val="22"/>
          <w:lang w:val="es-ES"/>
        </w:rPr>
        <w:t xml:space="preserve">La descripción de la función de </w:t>
      </w:r>
      <w:r w:rsidR="00CF36DB" w:rsidRPr="001C618A">
        <w:rPr>
          <w:sz w:val="22"/>
          <w:szCs w:val="22"/>
          <w:lang w:val="es-ES"/>
        </w:rPr>
        <w:t>respaldo</w:t>
      </w:r>
      <w:r w:rsidRPr="001C618A">
        <w:rPr>
          <w:sz w:val="22"/>
          <w:szCs w:val="22"/>
          <w:lang w:val="es-ES"/>
        </w:rPr>
        <w:t xml:space="preserve"> </w:t>
      </w:r>
      <w:r w:rsidR="00594969" w:rsidRPr="001C618A">
        <w:rPr>
          <w:sz w:val="22"/>
          <w:szCs w:val="22"/>
          <w:lang w:val="es-ES"/>
        </w:rPr>
        <w:t>incluirá</w:t>
      </w:r>
      <w:r w:rsidRPr="001C618A">
        <w:rPr>
          <w:sz w:val="22"/>
          <w:szCs w:val="22"/>
          <w:lang w:val="es-ES"/>
        </w:rPr>
        <w:t xml:space="preserve"> una lista del personal, las unidades, </w:t>
      </w:r>
      <w:r w:rsidR="00594969" w:rsidRPr="001C618A">
        <w:rPr>
          <w:sz w:val="22"/>
          <w:szCs w:val="22"/>
          <w:lang w:val="es-ES"/>
        </w:rPr>
        <w:t xml:space="preserve">la </w:t>
      </w:r>
      <w:r w:rsidRPr="001C618A">
        <w:rPr>
          <w:sz w:val="22"/>
          <w:szCs w:val="22"/>
          <w:lang w:val="es-ES"/>
        </w:rPr>
        <w:t xml:space="preserve">capacidad </w:t>
      </w:r>
      <w:r w:rsidR="00594969" w:rsidRPr="001C618A">
        <w:rPr>
          <w:sz w:val="22"/>
          <w:szCs w:val="22"/>
          <w:lang w:val="es-ES"/>
        </w:rPr>
        <w:t>de efectivos</w:t>
      </w:r>
      <w:r w:rsidRPr="001C618A">
        <w:rPr>
          <w:sz w:val="22"/>
          <w:szCs w:val="22"/>
          <w:lang w:val="es-ES"/>
        </w:rPr>
        <w:t xml:space="preserve"> permanente</w:t>
      </w:r>
      <w:r w:rsidR="00594969" w:rsidRPr="001C618A">
        <w:rPr>
          <w:sz w:val="22"/>
          <w:szCs w:val="22"/>
          <w:lang w:val="es-ES"/>
        </w:rPr>
        <w:t>s</w:t>
      </w:r>
      <w:r w:rsidRPr="001C618A">
        <w:rPr>
          <w:sz w:val="22"/>
          <w:szCs w:val="22"/>
          <w:lang w:val="es-ES"/>
        </w:rPr>
        <w:t xml:space="preserve"> </w:t>
      </w:r>
      <w:r w:rsidR="00594969" w:rsidRPr="001C618A">
        <w:rPr>
          <w:sz w:val="22"/>
          <w:szCs w:val="22"/>
          <w:lang w:val="es-ES"/>
        </w:rPr>
        <w:t xml:space="preserve">que intervienen </w:t>
      </w:r>
      <w:r w:rsidRPr="001C618A">
        <w:rPr>
          <w:sz w:val="22"/>
          <w:szCs w:val="22"/>
          <w:lang w:val="es-ES"/>
        </w:rPr>
        <w:t xml:space="preserve">regularmente como expertos en proyectos similares, </w:t>
      </w:r>
      <w:r w:rsidR="00594969" w:rsidRPr="001C618A">
        <w:rPr>
          <w:sz w:val="22"/>
          <w:szCs w:val="22"/>
          <w:lang w:val="es-ES"/>
        </w:rPr>
        <w:t xml:space="preserve">la </w:t>
      </w:r>
      <w:r w:rsidRPr="001C618A">
        <w:rPr>
          <w:sz w:val="22"/>
          <w:szCs w:val="22"/>
          <w:lang w:val="es-ES"/>
        </w:rPr>
        <w:t>aportación de conocimientos especializados en la región/país de origen</w:t>
      </w:r>
      <w:r w:rsidR="00594969" w:rsidRPr="001C618A">
        <w:rPr>
          <w:sz w:val="22"/>
          <w:szCs w:val="22"/>
          <w:lang w:val="es-ES"/>
        </w:rPr>
        <w:t xml:space="preserve"> o</w:t>
      </w:r>
      <w:r w:rsidRPr="001C618A">
        <w:rPr>
          <w:sz w:val="22"/>
          <w:szCs w:val="22"/>
          <w:lang w:val="es-ES"/>
        </w:rPr>
        <w:t xml:space="preserve"> los países socios, </w:t>
      </w:r>
      <w:r w:rsidR="00594969" w:rsidRPr="001C618A">
        <w:rPr>
          <w:sz w:val="22"/>
          <w:szCs w:val="22"/>
          <w:lang w:val="es-ES"/>
        </w:rPr>
        <w:t xml:space="preserve">la </w:t>
      </w:r>
      <w:r w:rsidRPr="001C618A">
        <w:rPr>
          <w:sz w:val="22"/>
          <w:szCs w:val="22"/>
          <w:lang w:val="es-ES"/>
        </w:rPr>
        <w:t xml:space="preserve">estructura organizativa, etc., </w:t>
      </w:r>
      <w:r w:rsidR="00594969" w:rsidRPr="001C618A">
        <w:rPr>
          <w:sz w:val="22"/>
          <w:szCs w:val="22"/>
          <w:lang w:val="es-ES"/>
        </w:rPr>
        <w:t xml:space="preserve">con los </w:t>
      </w:r>
      <w:r w:rsidRPr="001C618A">
        <w:rPr>
          <w:sz w:val="22"/>
          <w:szCs w:val="22"/>
          <w:lang w:val="es-ES"/>
        </w:rPr>
        <w:t xml:space="preserve">que se </w:t>
      </w:r>
      <w:r w:rsidR="00594969" w:rsidRPr="001C618A">
        <w:rPr>
          <w:sz w:val="22"/>
          <w:szCs w:val="22"/>
          <w:lang w:val="es-ES"/>
        </w:rPr>
        <w:t>piensa garantizar dicha función</w:t>
      </w:r>
      <w:r w:rsidRPr="001C618A">
        <w:rPr>
          <w:sz w:val="22"/>
          <w:szCs w:val="22"/>
          <w:lang w:val="es-ES"/>
        </w:rPr>
        <w:t xml:space="preserve">, así como los sistemas de calidad </w:t>
      </w:r>
      <w:r w:rsidR="00594969" w:rsidRPr="001C618A">
        <w:rPr>
          <w:sz w:val="22"/>
          <w:szCs w:val="22"/>
          <w:lang w:val="es-ES"/>
        </w:rPr>
        <w:t xml:space="preserve">y los </w:t>
      </w:r>
      <w:r w:rsidRPr="001C618A">
        <w:rPr>
          <w:sz w:val="22"/>
          <w:szCs w:val="22"/>
          <w:lang w:val="es-ES"/>
        </w:rPr>
        <w:t xml:space="preserve">métodos e instrumentos de </w:t>
      </w:r>
      <w:r w:rsidR="00594969" w:rsidRPr="001C618A">
        <w:rPr>
          <w:sz w:val="22"/>
          <w:szCs w:val="22"/>
          <w:lang w:val="es-ES"/>
        </w:rPr>
        <w:t>capitalización de los conocimientos disponibles</w:t>
      </w:r>
      <w:r w:rsidRPr="001C618A">
        <w:rPr>
          <w:sz w:val="22"/>
          <w:szCs w:val="22"/>
          <w:lang w:val="es-ES"/>
        </w:rPr>
        <w:t>, dentro de los respectivos miembros del consorcio.</w:t>
      </w:r>
    </w:p>
    <w:p w:rsidR="00FE42D8" w:rsidRPr="001C618A" w:rsidRDefault="00FE42D8" w:rsidP="00FE42D8">
      <w:pPr>
        <w:jc w:val="both"/>
        <w:rPr>
          <w:sz w:val="22"/>
          <w:szCs w:val="22"/>
          <w:lang w:val="es-ES"/>
        </w:rPr>
      </w:pPr>
    </w:p>
    <w:p w:rsidR="00FE42D8" w:rsidRPr="001C618A" w:rsidRDefault="00594969" w:rsidP="00FE42D8">
      <w:pPr>
        <w:jc w:val="both"/>
        <w:rPr>
          <w:sz w:val="22"/>
          <w:szCs w:val="22"/>
          <w:lang w:val="es-ES"/>
        </w:rPr>
      </w:pPr>
      <w:r w:rsidRPr="001C618A">
        <w:rPr>
          <w:sz w:val="22"/>
          <w:szCs w:val="22"/>
          <w:lang w:val="es-ES"/>
        </w:rPr>
        <w:t>Una capacidad permanente de efectivos que intervienen regularmente como expertos en proyectos similares se considerará una ventaja para prestar apoyo a los expertos sobre el terreno. Por el contrario, deberá considerarse que un contratista de servicios que emplea exclusivamente a expertos independientes (es decir, no permanentes) tiene una capacidad de apoyo menos sólida.</w:t>
      </w:r>
    </w:p>
    <w:p w:rsidR="00FE42D8" w:rsidRPr="001C618A" w:rsidRDefault="00FE42D8" w:rsidP="00FE42D8">
      <w:pPr>
        <w:jc w:val="both"/>
        <w:rPr>
          <w:sz w:val="22"/>
          <w:szCs w:val="22"/>
          <w:lang w:val="es-ES"/>
        </w:rPr>
      </w:pPr>
    </w:p>
    <w:p w:rsidR="00FE42D8" w:rsidRPr="001C618A" w:rsidRDefault="00AF1DF6" w:rsidP="00FE42D8">
      <w:pPr>
        <w:jc w:val="both"/>
        <w:rPr>
          <w:sz w:val="22"/>
          <w:szCs w:val="22"/>
          <w:lang w:val="es-ES"/>
        </w:rPr>
      </w:pPr>
      <w:r w:rsidRPr="001C618A">
        <w:rPr>
          <w:sz w:val="22"/>
          <w:szCs w:val="22"/>
          <w:lang w:val="es-ES"/>
        </w:rPr>
        <w:lastRenderedPageBreak/>
        <w:t>El hecho de que el</w:t>
      </w:r>
      <w:r w:rsidR="00594969" w:rsidRPr="001C618A">
        <w:rPr>
          <w:sz w:val="22"/>
          <w:szCs w:val="22"/>
          <w:lang w:val="es-ES"/>
        </w:rPr>
        <w:t xml:space="preserve"> l</w:t>
      </w:r>
      <w:r w:rsidRPr="001C618A">
        <w:rPr>
          <w:sz w:val="22"/>
          <w:szCs w:val="22"/>
          <w:lang w:val="es-ES"/>
        </w:rPr>
        <w:t>icitador esté</w:t>
      </w:r>
      <w:r w:rsidR="00594969" w:rsidRPr="001C618A">
        <w:rPr>
          <w:sz w:val="22"/>
          <w:szCs w:val="22"/>
          <w:lang w:val="es-ES"/>
        </w:rPr>
        <w:t xml:space="preserve"> aportando conocimientos en su región/país de origen y en los países socios puede </w:t>
      </w:r>
      <w:r w:rsidRPr="001C618A">
        <w:rPr>
          <w:sz w:val="22"/>
          <w:szCs w:val="22"/>
          <w:lang w:val="es-ES"/>
        </w:rPr>
        <w:t xml:space="preserve">podrá considerarse </w:t>
      </w:r>
      <w:r w:rsidR="00594969" w:rsidRPr="001C618A">
        <w:rPr>
          <w:sz w:val="22"/>
          <w:szCs w:val="22"/>
          <w:lang w:val="es-ES"/>
        </w:rPr>
        <w:t xml:space="preserve">una capacidad </w:t>
      </w:r>
      <w:r w:rsidRPr="001C618A">
        <w:rPr>
          <w:sz w:val="22"/>
          <w:szCs w:val="22"/>
          <w:lang w:val="es-ES"/>
        </w:rPr>
        <w:t>para</w:t>
      </w:r>
      <w:r w:rsidR="00594969" w:rsidRPr="001C618A">
        <w:rPr>
          <w:sz w:val="22"/>
          <w:szCs w:val="22"/>
          <w:lang w:val="es-ES"/>
        </w:rPr>
        <w:t xml:space="preserve"> </w:t>
      </w:r>
      <w:r w:rsidRPr="001C618A">
        <w:rPr>
          <w:sz w:val="22"/>
          <w:szCs w:val="22"/>
          <w:lang w:val="es-ES"/>
        </w:rPr>
        <w:t>difundir</w:t>
      </w:r>
      <w:r w:rsidR="00594969" w:rsidRPr="001C618A">
        <w:rPr>
          <w:sz w:val="22"/>
          <w:szCs w:val="22"/>
          <w:lang w:val="es-ES"/>
        </w:rPr>
        <w:t xml:space="preserve"> la innovación.</w:t>
      </w:r>
    </w:p>
    <w:p w:rsidR="00FE42D8" w:rsidRPr="001C618A" w:rsidRDefault="00FE42D8" w:rsidP="00FE42D8">
      <w:pPr>
        <w:jc w:val="both"/>
        <w:rPr>
          <w:sz w:val="22"/>
          <w:szCs w:val="22"/>
          <w:lang w:val="es-ES"/>
        </w:rPr>
      </w:pPr>
    </w:p>
    <w:p w:rsidR="00FE42D8" w:rsidRPr="001C618A" w:rsidRDefault="00AF1DF6" w:rsidP="00FE42D8">
      <w:pPr>
        <w:jc w:val="both"/>
        <w:rPr>
          <w:sz w:val="22"/>
          <w:szCs w:val="22"/>
          <w:lang w:val="es-ES"/>
        </w:rPr>
      </w:pPr>
      <w:r w:rsidRPr="001C618A">
        <w:rPr>
          <w:sz w:val="22"/>
          <w:szCs w:val="22"/>
          <w:lang w:val="es-ES"/>
        </w:rPr>
        <w:t>Podrá considerarse una ventaja el hecho de que el licitador disponga de una función de diseño, investigación, laboratorio o incluso innovación, o de que colabore con centros académicos de investigación.</w:t>
      </w:r>
    </w:p>
    <w:p w:rsidR="00574F9C" w:rsidRPr="001C618A" w:rsidRDefault="00574F9C" w:rsidP="00574F9C">
      <w:pPr>
        <w:jc w:val="both"/>
        <w:rPr>
          <w:sz w:val="22"/>
          <w:szCs w:val="22"/>
          <w:lang w:val="es-ES"/>
        </w:rPr>
      </w:pPr>
    </w:p>
    <w:p w:rsidR="00574F9C" w:rsidRPr="001C618A" w:rsidRDefault="00574F9C" w:rsidP="00574F9C">
      <w:pPr>
        <w:jc w:val="both"/>
        <w:rPr>
          <w:b/>
          <w:sz w:val="22"/>
          <w:szCs w:val="22"/>
          <w:lang w:val="es-ES"/>
        </w:rPr>
      </w:pPr>
      <w:r w:rsidRPr="001C618A">
        <w:rPr>
          <w:b/>
          <w:sz w:val="22"/>
          <w:szCs w:val="22"/>
          <w:lang w:val="es-ES"/>
        </w:rPr>
        <w:t>Evaluación de los expertos:</w:t>
      </w:r>
    </w:p>
    <w:p w:rsidR="00574F9C" w:rsidRPr="001C618A" w:rsidRDefault="00574F9C" w:rsidP="00574F9C">
      <w:pPr>
        <w:jc w:val="both"/>
        <w:rPr>
          <w:sz w:val="22"/>
          <w:szCs w:val="22"/>
          <w:lang w:val="es-ES"/>
        </w:rPr>
      </w:pPr>
    </w:p>
    <w:p w:rsidR="00574F9C" w:rsidRPr="001C618A" w:rsidRDefault="00574F9C" w:rsidP="00574F9C">
      <w:pPr>
        <w:jc w:val="both"/>
        <w:rPr>
          <w:sz w:val="22"/>
          <w:szCs w:val="22"/>
          <w:lang w:val="es-ES"/>
        </w:rPr>
      </w:pPr>
      <w:r w:rsidRPr="001C618A">
        <w:rPr>
          <w:sz w:val="22"/>
          <w:szCs w:val="22"/>
          <w:lang w:val="es-ES"/>
        </w:rPr>
        <w:t xml:space="preserve">El </w:t>
      </w:r>
      <w:r w:rsidR="001C618A">
        <w:rPr>
          <w:sz w:val="22"/>
          <w:szCs w:val="22"/>
          <w:lang w:val="es-ES"/>
        </w:rPr>
        <w:t xml:space="preserve">cuadro sinóptico </w:t>
      </w:r>
      <w:r w:rsidRPr="001C618A">
        <w:rPr>
          <w:sz w:val="22"/>
          <w:szCs w:val="22"/>
          <w:lang w:val="es-ES"/>
        </w:rPr>
        <w:t xml:space="preserve">que figura a continuación deberá entenderse como una directriz para la opinión del evaluador sobre </w:t>
      </w:r>
      <w:r w:rsidRPr="001C618A">
        <w:rPr>
          <w:sz w:val="22"/>
          <w:szCs w:val="22"/>
          <w:u w:val="single"/>
          <w:lang w:val="es-ES"/>
        </w:rPr>
        <w:t>una línea individual</w:t>
      </w:r>
      <w:r w:rsidRPr="001C618A">
        <w:rPr>
          <w:sz w:val="22"/>
          <w:szCs w:val="22"/>
          <w:lang w:val="es-ES"/>
        </w:rPr>
        <w:t xml:space="preserve"> de la tabla de evaluación.</w:t>
      </w:r>
    </w:p>
    <w:p w:rsidR="00574F9C" w:rsidRPr="001C618A" w:rsidRDefault="00574F9C" w:rsidP="00574F9C">
      <w:pPr>
        <w:jc w:val="both"/>
        <w:rPr>
          <w:sz w:val="22"/>
          <w:szCs w:val="22"/>
          <w:lang w:val="es-ES"/>
        </w:rPr>
      </w:pPr>
    </w:p>
    <w:p w:rsidR="00AF1DF6" w:rsidRPr="001C618A" w:rsidRDefault="00AF1DF6" w:rsidP="00574F9C">
      <w:pPr>
        <w:jc w:val="both"/>
        <w:rPr>
          <w:sz w:val="22"/>
          <w:szCs w:val="22"/>
          <w:lang w:val="es-ES"/>
        </w:rPr>
      </w:pPr>
      <w:r w:rsidRPr="001C618A">
        <w:rPr>
          <w:sz w:val="22"/>
          <w:szCs w:val="22"/>
          <w:lang w:val="es-ES"/>
        </w:rPr>
        <w:t xml:space="preserve">Obsérvese que los funcionarios y otros </w:t>
      </w:r>
      <w:r w:rsidR="001E6F87" w:rsidRPr="001C618A">
        <w:rPr>
          <w:sz w:val="22"/>
          <w:szCs w:val="22"/>
          <w:lang w:val="es-ES"/>
        </w:rPr>
        <w:t>agentes</w:t>
      </w:r>
      <w:r w:rsidRPr="001C618A">
        <w:rPr>
          <w:sz w:val="22"/>
          <w:szCs w:val="22"/>
          <w:lang w:val="es-ES"/>
        </w:rPr>
        <w:t xml:space="preserve"> de la administración pública del país socio solo podrán ser contratados como expertos en casos muy justificados. Esta justificación se presentará con la oferta y deberá incluir información sobre el valor añadido que vaya a aportar el experto, </w:t>
      </w:r>
      <w:r w:rsidRPr="001C618A">
        <w:rPr>
          <w:sz w:val="22"/>
          <w:szCs w:val="22"/>
          <w:u w:val="single"/>
          <w:lang w:val="es-ES"/>
        </w:rPr>
        <w:t>sobre cualquier posible interferencia o conflicto de intereses del experto propuesto en su función como experto y sobre sus funciones actuales o previas como funcionario,</w:t>
      </w:r>
      <w:r w:rsidRPr="001C618A">
        <w:rPr>
          <w:sz w:val="22"/>
          <w:szCs w:val="22"/>
          <w:lang w:val="es-ES"/>
        </w:rPr>
        <w:t xml:space="preserve"> así como la prueba de que el experto está en comisión de servicio o en excedencia voluntaria.</w:t>
      </w:r>
    </w:p>
    <w:p w:rsidR="00AF1DF6" w:rsidRPr="001C618A" w:rsidRDefault="00AF1DF6" w:rsidP="00574F9C">
      <w:pPr>
        <w:jc w:val="both"/>
        <w:rPr>
          <w:sz w:val="22"/>
          <w:szCs w:val="22"/>
          <w:lang w:val="es-ES"/>
        </w:rPr>
      </w:pPr>
    </w:p>
    <w:p w:rsidR="00574F9C" w:rsidRPr="001C618A" w:rsidRDefault="00574F9C" w:rsidP="00574F9C">
      <w:pPr>
        <w:pStyle w:val="Style11ptJustifiedAfter12pt"/>
        <w:rPr>
          <w:lang w:val="es-ES"/>
        </w:rPr>
      </w:pPr>
      <w:r w:rsidRPr="001C618A">
        <w:rPr>
          <w:szCs w:val="22"/>
          <w:lang w:val="es-ES"/>
        </w:rPr>
        <w:t xml:space="preserve">Los expertos </w:t>
      </w:r>
      <w:r w:rsidR="00361204" w:rsidRPr="001C618A">
        <w:rPr>
          <w:szCs w:val="22"/>
          <w:lang w:val="es-ES"/>
        </w:rPr>
        <w:t xml:space="preserve">principales </w:t>
      </w:r>
      <w:r w:rsidRPr="001C618A">
        <w:rPr>
          <w:szCs w:val="22"/>
          <w:lang w:val="es-ES"/>
        </w:rPr>
        <w:t xml:space="preserve">deberán ser puntuados en función de los requisitos expuestos en </w:t>
      </w:r>
      <w:r w:rsidR="00D86CAC" w:rsidRPr="001C618A">
        <w:rPr>
          <w:szCs w:val="22"/>
          <w:lang w:val="es-ES"/>
        </w:rPr>
        <w:t>el Pliego de Condiciones</w:t>
      </w:r>
      <w:r w:rsidRPr="001C618A">
        <w:rPr>
          <w:szCs w:val="22"/>
          <w:lang w:val="es-ES"/>
        </w:rPr>
        <w:t xml:space="preserve">. Los licitadores deberán presentar pruebas documentales sobre los expertos principales propuestos. Ello incluye copias de los títulos mencionados en los CV y certificados o referencias de los empleadores que demuestren la experiencia profesional declarada en el CV. Si se solicitan pruebas no presentadas, como aclaración de la oferta técnica, solo deberá referirse a títulos y experiencia pertinente que se encuentren entre los requisitos </w:t>
      </w:r>
      <w:r w:rsidR="00D86CAC" w:rsidRPr="001C618A">
        <w:rPr>
          <w:szCs w:val="22"/>
          <w:lang w:val="es-ES"/>
        </w:rPr>
        <w:t>del Pliego de Condiciones</w:t>
      </w:r>
      <w:r w:rsidRPr="001C618A">
        <w:rPr>
          <w:lang w:val="es-ES"/>
        </w:rPr>
        <w:t>. Solo se tendrán en cuenta los títulos y la experiencia demostrados mediante pruebas documentales.</w:t>
      </w:r>
    </w:p>
    <w:p w:rsidR="00574F9C" w:rsidRPr="001C618A" w:rsidRDefault="00574F9C" w:rsidP="00574F9C">
      <w:pPr>
        <w:rPr>
          <w:sz w:val="22"/>
          <w:szCs w:val="22"/>
          <w:lang w:val="es-ES"/>
        </w:rPr>
      </w:pPr>
    </w:p>
    <w:p w:rsidR="00574F9C" w:rsidRPr="001C618A" w:rsidRDefault="00574F9C" w:rsidP="00574F9C">
      <w:pPr>
        <w:jc w:val="both"/>
        <w:rPr>
          <w:sz w:val="22"/>
          <w:szCs w:val="22"/>
          <w:lang w:val="es-ES"/>
        </w:rPr>
      </w:pPr>
      <w:r w:rsidRPr="001C618A">
        <w:rPr>
          <w:sz w:val="22"/>
          <w:szCs w:val="22"/>
          <w:lang w:val="es-ES"/>
        </w:rPr>
        <w:t>Par</w:t>
      </w:r>
      <w:r w:rsidR="00361204" w:rsidRPr="001C618A">
        <w:rPr>
          <w:sz w:val="22"/>
          <w:szCs w:val="22"/>
          <w:lang w:val="es-ES"/>
        </w:rPr>
        <w:t>a los expertos principales, el 6</w:t>
      </w:r>
      <w:r w:rsidRPr="001C618A">
        <w:rPr>
          <w:sz w:val="22"/>
          <w:szCs w:val="22"/>
          <w:lang w:val="es-ES"/>
        </w:rPr>
        <w:t xml:space="preserve">0 % podría servir como directriz. Esto significa que cuando un experto sea técnicamente aceptable respecto de un criterio particular (cuando cumpla los requisitos mínimos de dicho </w:t>
      </w:r>
      <w:r w:rsidR="00361204" w:rsidRPr="001C618A">
        <w:rPr>
          <w:sz w:val="22"/>
          <w:szCs w:val="22"/>
          <w:lang w:val="es-ES"/>
        </w:rPr>
        <w:t>criterio), deberá asignarse el 6</w:t>
      </w:r>
      <w:r w:rsidRPr="001C618A">
        <w:rPr>
          <w:sz w:val="22"/>
          <w:szCs w:val="22"/>
          <w:lang w:val="es-ES"/>
        </w:rPr>
        <w:t>0 % de la puntuación máxima prevista para tal criterio. Si el experto excede el requisito mínimo para el criterio en cuestión, deberá asign</w:t>
      </w:r>
      <w:r w:rsidR="00361204" w:rsidRPr="001C618A">
        <w:rPr>
          <w:sz w:val="22"/>
          <w:szCs w:val="22"/>
          <w:lang w:val="es-ES"/>
        </w:rPr>
        <w:t>arse un porcentaje de entre el 6</w:t>
      </w:r>
      <w:r w:rsidRPr="001C618A">
        <w:rPr>
          <w:sz w:val="22"/>
          <w:szCs w:val="22"/>
          <w:lang w:val="es-ES"/>
        </w:rPr>
        <w:t>1</w:t>
      </w:r>
      <w:r w:rsidR="00D86CAC" w:rsidRPr="001C618A">
        <w:rPr>
          <w:sz w:val="22"/>
          <w:szCs w:val="22"/>
          <w:lang w:val="es-ES"/>
        </w:rPr>
        <w:t> %</w:t>
      </w:r>
      <w:r w:rsidRPr="001C618A">
        <w:rPr>
          <w:sz w:val="22"/>
          <w:szCs w:val="22"/>
          <w:lang w:val="es-ES"/>
        </w:rPr>
        <w:t xml:space="preserve"> y el 100 % de la puntuación máxima prevista para tal criterio, dependiendo de cuánto exceda el experto el requisito mínimo.</w:t>
      </w:r>
    </w:p>
    <w:p w:rsidR="00574F9C" w:rsidRPr="001C618A" w:rsidRDefault="00574F9C" w:rsidP="00574F9C">
      <w:pPr>
        <w:rPr>
          <w:sz w:val="22"/>
          <w:szCs w:val="22"/>
          <w:lang w:val="es-ES"/>
        </w:rPr>
      </w:pPr>
    </w:p>
    <w:p w:rsidR="00574F9C" w:rsidRPr="001C618A" w:rsidRDefault="00574F9C" w:rsidP="00574F9C">
      <w:pPr>
        <w:jc w:val="both"/>
        <w:rPr>
          <w:sz w:val="22"/>
          <w:lang w:val="es-ES"/>
        </w:rPr>
      </w:pPr>
      <w:r w:rsidRPr="001C618A">
        <w:rPr>
          <w:sz w:val="22"/>
          <w:szCs w:val="22"/>
          <w:lang w:val="es-ES"/>
        </w:rPr>
        <w:t xml:space="preserve">Los expertos principales deberán cumplir los requisitos mínimos para todos los criterios. Si alguno de los expertos principales no cumple los requisitos mínimos de </w:t>
      </w:r>
      <w:r w:rsidR="00AF1DF6" w:rsidRPr="001C618A">
        <w:rPr>
          <w:sz w:val="22"/>
          <w:szCs w:val="22"/>
          <w:lang w:val="es-ES"/>
        </w:rPr>
        <w:t>algún</w:t>
      </w:r>
      <w:r w:rsidRPr="001C618A">
        <w:rPr>
          <w:sz w:val="22"/>
          <w:szCs w:val="22"/>
          <w:lang w:val="es-ES"/>
        </w:rPr>
        <w:t xml:space="preserve"> criterio tras la evaluación revisada (que</w:t>
      </w:r>
      <w:r w:rsidR="00EB131A" w:rsidRPr="001C618A">
        <w:rPr>
          <w:sz w:val="22"/>
          <w:szCs w:val="22"/>
          <w:lang w:val="es-ES"/>
        </w:rPr>
        <w:t>, en su caso,</w:t>
      </w:r>
      <w:r w:rsidRPr="001C618A">
        <w:rPr>
          <w:sz w:val="22"/>
          <w:szCs w:val="22"/>
          <w:lang w:val="es-ES"/>
        </w:rPr>
        <w:t xml:space="preserve"> tiene lugar tras las entrevistas)</w:t>
      </w:r>
      <w:r w:rsidR="00EB131A" w:rsidRPr="001C618A">
        <w:rPr>
          <w:sz w:val="22"/>
          <w:szCs w:val="22"/>
          <w:lang w:val="es-ES"/>
        </w:rPr>
        <w:t>,</w:t>
      </w:r>
      <w:r w:rsidRPr="001C618A">
        <w:rPr>
          <w:sz w:val="22"/>
          <w:szCs w:val="22"/>
          <w:lang w:val="es-ES"/>
        </w:rPr>
        <w:t xml:space="preserve"> la oferta será rechazada.</w:t>
      </w:r>
    </w:p>
    <w:p w:rsidR="00574F9C" w:rsidRPr="001C618A" w:rsidRDefault="00574F9C" w:rsidP="00574F9C">
      <w:pPr>
        <w:jc w:val="both"/>
        <w:rPr>
          <w:sz w:val="22"/>
          <w:lang w:val="es-ES"/>
        </w:rPr>
      </w:pPr>
    </w:p>
    <w:p w:rsidR="00574F9C" w:rsidRPr="001C618A" w:rsidRDefault="00574F9C" w:rsidP="00574F9C">
      <w:pPr>
        <w:jc w:val="both"/>
        <w:rPr>
          <w:sz w:val="22"/>
          <w:szCs w:val="22"/>
          <w:lang w:val="es-ES"/>
        </w:rPr>
      </w:pPr>
      <w:r w:rsidRPr="001C618A">
        <w:rPr>
          <w:sz w:val="22"/>
          <w:szCs w:val="22"/>
          <w:lang w:val="es-ES"/>
        </w:rPr>
        <w:t xml:space="preserve">El Comité de Evaluación, como norma, deberá comprobar la experiencia </w:t>
      </w:r>
      <w:r w:rsidR="00EB131A" w:rsidRPr="001C618A">
        <w:rPr>
          <w:sz w:val="22"/>
          <w:szCs w:val="22"/>
          <w:lang w:val="es-ES"/>
        </w:rPr>
        <w:t>anterior</w:t>
      </w:r>
      <w:r w:rsidRPr="001C618A">
        <w:rPr>
          <w:sz w:val="22"/>
          <w:szCs w:val="22"/>
          <w:lang w:val="es-ES"/>
        </w:rPr>
        <w:t xml:space="preserve"> de los expertos principales (entre otras cosas comprobar referencias de empleadores o de Órganos de Contratación que figuren en el CV), con el fin de confirmar la información facilitada en la solicitud en relación con los criterios de adjudicación (por ejemplo, que los servicios prestados en el pasado se completaron </w:t>
      </w:r>
      <w:r w:rsidRPr="001C618A">
        <w:rPr>
          <w:sz w:val="22"/>
          <w:szCs w:val="22"/>
          <w:u w:val="single"/>
          <w:lang w:val="es-ES"/>
        </w:rPr>
        <w:t>con éxito</w:t>
      </w:r>
      <w:r w:rsidRPr="001C618A">
        <w:rPr>
          <w:sz w:val="22"/>
          <w:szCs w:val="22"/>
          <w:lang w:val="es-ES"/>
        </w:rPr>
        <w:t>).</w:t>
      </w:r>
    </w:p>
    <w:p w:rsidR="00EB131A" w:rsidRPr="001C618A" w:rsidRDefault="00EB131A" w:rsidP="00574F9C">
      <w:pPr>
        <w:jc w:val="both"/>
        <w:rPr>
          <w:sz w:val="22"/>
          <w:szCs w:val="22"/>
          <w:lang w:val="es-ES"/>
        </w:rPr>
      </w:pPr>
    </w:p>
    <w:p w:rsidR="00574F9C" w:rsidRPr="001C618A" w:rsidRDefault="00574F9C" w:rsidP="00574F9C">
      <w:pPr>
        <w:jc w:val="both"/>
        <w:rPr>
          <w:sz w:val="22"/>
          <w:szCs w:val="22"/>
          <w:lang w:val="es-ES"/>
        </w:rPr>
      </w:pPr>
      <w:r w:rsidRPr="001C618A">
        <w:rPr>
          <w:sz w:val="22"/>
          <w:szCs w:val="22"/>
          <w:lang w:val="es-ES"/>
        </w:rPr>
        <w:t xml:space="preserve">El Órgano de Contratación (y, en primer lugar, los evaluadores) debe garantizar en todo momento una evaluación objetiva de las ofertas y los principios de igualdad de trato y no discriminación. Por esa razón, estos contactos </w:t>
      </w:r>
      <w:r w:rsidR="001E6F87" w:rsidRPr="001C618A">
        <w:rPr>
          <w:sz w:val="22"/>
          <w:szCs w:val="22"/>
          <w:lang w:val="es-ES"/>
        </w:rPr>
        <w:t>solo</w:t>
      </w:r>
      <w:r w:rsidRPr="001C618A">
        <w:rPr>
          <w:sz w:val="22"/>
          <w:szCs w:val="22"/>
          <w:lang w:val="es-ES"/>
        </w:rPr>
        <w:t xml:space="preserve"> se utilizarán para confirmar la exactitud de la información facilitada por el experto en relación </w:t>
      </w:r>
      <w:r w:rsidR="00CF36DB" w:rsidRPr="001C618A">
        <w:rPr>
          <w:sz w:val="22"/>
          <w:szCs w:val="22"/>
          <w:lang w:val="es-ES"/>
        </w:rPr>
        <w:t>con</w:t>
      </w:r>
      <w:r w:rsidRPr="001C618A">
        <w:rPr>
          <w:sz w:val="22"/>
          <w:szCs w:val="22"/>
          <w:lang w:val="es-ES"/>
        </w:rPr>
        <w:t xml:space="preserve"> su experiencia </w:t>
      </w:r>
      <w:r w:rsidR="00EB131A" w:rsidRPr="001C618A">
        <w:rPr>
          <w:sz w:val="22"/>
          <w:szCs w:val="22"/>
          <w:lang w:val="es-ES"/>
        </w:rPr>
        <w:t>anterior</w:t>
      </w:r>
      <w:r w:rsidRPr="001C618A">
        <w:rPr>
          <w:sz w:val="22"/>
          <w:szCs w:val="22"/>
          <w:lang w:val="es-ES"/>
        </w:rPr>
        <w:t xml:space="preserve"> y no se utilizarán para introducir elementos subjetivos en la evaluación de los expertos o en la licitación.</w:t>
      </w:r>
    </w:p>
    <w:p w:rsidR="00EB131A" w:rsidRPr="001C618A" w:rsidRDefault="00EB131A" w:rsidP="00574F9C">
      <w:pPr>
        <w:jc w:val="both"/>
        <w:rPr>
          <w:sz w:val="22"/>
          <w:szCs w:val="22"/>
          <w:lang w:val="es-ES"/>
        </w:rPr>
      </w:pPr>
    </w:p>
    <w:p w:rsidR="00574F9C" w:rsidRPr="001C618A" w:rsidRDefault="00574F9C" w:rsidP="00574F9C">
      <w:pPr>
        <w:jc w:val="both"/>
        <w:rPr>
          <w:sz w:val="22"/>
          <w:szCs w:val="22"/>
          <w:lang w:val="es-ES"/>
        </w:rPr>
      </w:pPr>
      <w:r w:rsidRPr="001C618A">
        <w:rPr>
          <w:sz w:val="22"/>
          <w:szCs w:val="22"/>
          <w:lang w:val="es-ES"/>
        </w:rPr>
        <w:t xml:space="preserve">Cuando, a raíz de esas comprobaciones, se demuestre que el CV no refleja la realidad y, por lo tanto, esto puede afectar a la evaluación de los expertos principales </w:t>
      </w:r>
      <w:r w:rsidR="00CF36DB" w:rsidRPr="001C618A">
        <w:rPr>
          <w:sz w:val="22"/>
          <w:szCs w:val="22"/>
          <w:lang w:val="es-ES"/>
        </w:rPr>
        <w:t xml:space="preserve">por </w:t>
      </w:r>
      <w:r w:rsidRPr="001C618A">
        <w:rPr>
          <w:sz w:val="22"/>
          <w:szCs w:val="22"/>
          <w:lang w:val="es-ES"/>
        </w:rPr>
        <w:t xml:space="preserve">el Comité, por ejemplo restando puntos en el criterio de concesión del que se trate, deberán justificarse debidamente las pruebas de que se han llevado a cabo estos controles y sus resultados (por ejemplo, mediante </w:t>
      </w:r>
      <w:r w:rsidRPr="001C618A">
        <w:rPr>
          <w:sz w:val="22"/>
          <w:szCs w:val="22"/>
          <w:lang w:val="es-ES"/>
        </w:rPr>
        <w:lastRenderedPageBreak/>
        <w:t>actas de conversaciones telefónicas e intercambios de cartas o correos electrónicos, evaluaciones en la base de datos, etc.) y reflejarse en el informe del Comité de Evaluación.</w:t>
      </w:r>
    </w:p>
    <w:p w:rsidR="00574F9C" w:rsidRPr="001C618A" w:rsidRDefault="00574F9C" w:rsidP="00574F9C">
      <w:pPr>
        <w:jc w:val="both"/>
        <w:rPr>
          <w:sz w:val="22"/>
          <w:szCs w:val="22"/>
          <w:lang w:val="es-ES"/>
        </w:rPr>
      </w:pPr>
    </w:p>
    <w:p w:rsidR="00361204" w:rsidRPr="001C618A" w:rsidRDefault="00361204" w:rsidP="00574F9C">
      <w:pPr>
        <w:jc w:val="both"/>
        <w:rPr>
          <w:sz w:val="22"/>
          <w:szCs w:val="22"/>
          <w:lang w:val="es-ES"/>
        </w:rPr>
      </w:pPr>
      <w:r w:rsidRPr="001C618A">
        <w:rPr>
          <w:sz w:val="22"/>
          <w:szCs w:val="22"/>
          <w:lang w:val="es-ES"/>
        </w:rPr>
        <w:t xml:space="preserve">Para los expertos no principales, el único aspecto que debe considerarse es si el número de días laborables calculados durante cada mes para cada tipo de experto propuesto en la organización y metodología es suficiente para cumplir los requisitos </w:t>
      </w:r>
      <w:r w:rsidR="001C618A" w:rsidRPr="001C618A">
        <w:rPr>
          <w:sz w:val="22"/>
          <w:szCs w:val="22"/>
          <w:lang w:val="es-ES"/>
        </w:rPr>
        <w:t>del Pliego de Condiciones</w:t>
      </w:r>
      <w:r w:rsidRPr="001C618A">
        <w:rPr>
          <w:sz w:val="22"/>
          <w:szCs w:val="22"/>
          <w:lang w:val="es-ES"/>
        </w:rPr>
        <w:t xml:space="preserve">. Esto se juzga sobre la base de los perfiles identificados en el </w:t>
      </w:r>
      <w:r w:rsidR="001C618A" w:rsidRPr="001C618A">
        <w:rPr>
          <w:sz w:val="22"/>
          <w:szCs w:val="22"/>
          <w:lang w:val="es-ES"/>
        </w:rPr>
        <w:t>Pliego de Condiciones</w:t>
      </w:r>
      <w:r w:rsidRPr="001C618A">
        <w:rPr>
          <w:sz w:val="22"/>
          <w:szCs w:val="22"/>
          <w:lang w:val="es-ES"/>
        </w:rPr>
        <w:t xml:space="preserve"> o en la organización y metodología.</w:t>
      </w:r>
    </w:p>
    <w:p w:rsidR="00361204" w:rsidRPr="001C618A" w:rsidRDefault="00361204" w:rsidP="00574F9C">
      <w:pPr>
        <w:jc w:val="both"/>
        <w:rPr>
          <w:sz w:val="22"/>
          <w:szCs w:val="22"/>
          <w:lang w:val="es-ES"/>
        </w:rPr>
      </w:pPr>
    </w:p>
    <w:p w:rsidR="00667FB8" w:rsidRPr="001C618A" w:rsidRDefault="00574F9C" w:rsidP="003841DD">
      <w:pPr>
        <w:spacing w:after="120"/>
        <w:jc w:val="both"/>
        <w:rPr>
          <w:b/>
          <w:sz w:val="22"/>
          <w:lang w:val="es-ES"/>
        </w:rPr>
      </w:pPr>
      <w:r w:rsidRPr="001C618A">
        <w:rPr>
          <w:b/>
          <w:sz w:val="22"/>
          <w:lang w:val="es-ES"/>
        </w:rPr>
        <w:t>Recuerden que solo</w:t>
      </w:r>
      <w:r w:rsidR="00EB131A" w:rsidRPr="001C618A">
        <w:rPr>
          <w:b/>
          <w:sz w:val="22"/>
          <w:lang w:val="es-ES"/>
        </w:rPr>
        <w:t xml:space="preserve"> se considerarán técnicamente aceptables</w:t>
      </w:r>
      <w:r w:rsidR="008B633B" w:rsidRPr="001C618A">
        <w:rPr>
          <w:b/>
          <w:sz w:val="22"/>
          <w:lang w:val="es-ES"/>
        </w:rPr>
        <w:t xml:space="preserve"> y se evaluarán financieramente</w:t>
      </w:r>
      <w:r w:rsidRPr="001C618A">
        <w:rPr>
          <w:b/>
          <w:sz w:val="22"/>
          <w:lang w:val="es-ES"/>
        </w:rPr>
        <w:t xml:space="preserve"> </w:t>
      </w:r>
      <w:r w:rsidR="00EB131A" w:rsidRPr="001C618A">
        <w:rPr>
          <w:b/>
          <w:sz w:val="22"/>
          <w:lang w:val="es-ES"/>
        </w:rPr>
        <w:t>las ofertas</w:t>
      </w:r>
      <w:r w:rsidRPr="001C618A">
        <w:rPr>
          <w:b/>
          <w:sz w:val="22"/>
          <w:lang w:val="es-ES"/>
        </w:rPr>
        <w:t xml:space="preserve"> </w:t>
      </w:r>
      <w:r w:rsidR="00EB131A" w:rsidRPr="001C618A">
        <w:rPr>
          <w:b/>
          <w:sz w:val="22"/>
          <w:lang w:val="es-ES"/>
        </w:rPr>
        <w:t>que obtengan puntuaciones</w:t>
      </w:r>
      <w:r w:rsidRPr="001C618A">
        <w:rPr>
          <w:b/>
          <w:sz w:val="22"/>
          <w:lang w:val="es-ES"/>
        </w:rPr>
        <w:t xml:space="preserve"> media</w:t>
      </w:r>
      <w:r w:rsidR="00EB131A" w:rsidRPr="001C618A">
        <w:rPr>
          <w:b/>
          <w:sz w:val="22"/>
          <w:lang w:val="es-ES"/>
        </w:rPr>
        <w:t xml:space="preserve">s </w:t>
      </w:r>
      <w:r w:rsidRPr="001C618A">
        <w:rPr>
          <w:b/>
          <w:sz w:val="22"/>
          <w:lang w:val="es-ES"/>
        </w:rPr>
        <w:t xml:space="preserve">de como mínimo </w:t>
      </w:r>
      <w:r w:rsidR="001C618A" w:rsidRPr="001C618A">
        <w:rPr>
          <w:b/>
          <w:sz w:val="22"/>
          <w:lang w:val="es-ES"/>
        </w:rPr>
        <w:t>75</w:t>
      </w:r>
      <w:r w:rsidRPr="001C618A">
        <w:rPr>
          <w:b/>
          <w:sz w:val="22"/>
          <w:lang w:val="es-ES"/>
        </w:rPr>
        <w:t xml:space="preserve"> puntos.</w:t>
      </w:r>
      <w:r w:rsidR="00534D50">
        <w:rPr>
          <w:b/>
          <w:noProof/>
          <w:sz w:val="22"/>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5.05pt;margin-top:53.35pt;width:369.25pt;height:422.05pt;z-index:251657728;mso-position-horizontal-relative:text;mso-position-vertical-relative:text" o:allowincell="f">
            <v:imagedata r:id="rId7" o:title=""/>
            <w10:wrap type="topAndBottom"/>
          </v:shape>
          <o:OLEObject Type="Embed" ProgID="Excel.Sheet.8" ShapeID="_x0000_s1027" DrawAspect="Content" ObjectID="_1657116456" r:id="rId8"/>
        </w:object>
      </w:r>
    </w:p>
    <w:sectPr w:rsidR="00667FB8" w:rsidRPr="001C618A" w:rsidSect="00AA6262">
      <w:footerReference w:type="default" r:id="rId9"/>
      <w:headerReference w:type="first" r:id="rId10"/>
      <w:footerReference w:type="first" r:id="rId11"/>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D34" w:rsidRDefault="00732D34">
      <w:r>
        <w:separator/>
      </w:r>
    </w:p>
  </w:endnote>
  <w:endnote w:type="continuationSeparator" w:id="0">
    <w:p w:rsidR="00732D34" w:rsidRDefault="0073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622" w:rsidRPr="00361204" w:rsidRDefault="00534D50" w:rsidP="00860622">
    <w:pPr>
      <w:pStyle w:val="Footer"/>
      <w:tabs>
        <w:tab w:val="clear" w:pos="4153"/>
      </w:tabs>
      <w:ind w:left="-284"/>
      <w:rPr>
        <w:rStyle w:val="PageNumber"/>
        <w:sz w:val="18"/>
        <w:szCs w:val="18"/>
        <w:lang w:val="es-ES"/>
      </w:rPr>
    </w:pPr>
    <w:r w:rsidRPr="00534D50">
      <w:rPr>
        <w:b/>
        <w:snapToGrid w:val="0"/>
        <w:sz w:val="18"/>
        <w:szCs w:val="18"/>
        <w:lang w:val="pt-PT"/>
      </w:rPr>
      <w:t>Agosto 2020</w:t>
    </w:r>
    <w:r w:rsidR="00860622" w:rsidRPr="00361204">
      <w:rPr>
        <w:b/>
        <w:sz w:val="18"/>
        <w:szCs w:val="18"/>
        <w:lang w:val="es-ES"/>
      </w:rPr>
      <w:tab/>
    </w:r>
    <w:r w:rsidR="00860622" w:rsidRPr="00361204">
      <w:rPr>
        <w:sz w:val="18"/>
        <w:szCs w:val="18"/>
        <w:lang w:val="es-ES"/>
      </w:rPr>
      <w:t xml:space="preserve">Página </w:t>
    </w:r>
    <w:r w:rsidR="00860622" w:rsidRPr="00545845">
      <w:rPr>
        <w:rStyle w:val="PageNumber"/>
        <w:sz w:val="18"/>
        <w:szCs w:val="18"/>
      </w:rPr>
      <w:fldChar w:fldCharType="begin"/>
    </w:r>
    <w:r w:rsidR="00860622" w:rsidRPr="00361204">
      <w:rPr>
        <w:rStyle w:val="PageNumber"/>
        <w:sz w:val="18"/>
        <w:szCs w:val="18"/>
        <w:lang w:val="es-ES"/>
      </w:rPr>
      <w:instrText xml:space="preserve"> PAGE </w:instrText>
    </w:r>
    <w:r w:rsidR="00860622" w:rsidRPr="00545845">
      <w:rPr>
        <w:rStyle w:val="PageNumber"/>
        <w:sz w:val="18"/>
        <w:szCs w:val="18"/>
      </w:rPr>
      <w:fldChar w:fldCharType="separate"/>
    </w:r>
    <w:r>
      <w:rPr>
        <w:rStyle w:val="PageNumber"/>
        <w:noProof/>
        <w:sz w:val="18"/>
        <w:szCs w:val="18"/>
        <w:lang w:val="es-ES"/>
      </w:rPr>
      <w:t>2</w:t>
    </w:r>
    <w:r w:rsidR="00860622" w:rsidRPr="00545845">
      <w:rPr>
        <w:rStyle w:val="PageNumber"/>
        <w:sz w:val="18"/>
        <w:szCs w:val="18"/>
      </w:rPr>
      <w:fldChar w:fldCharType="end"/>
    </w:r>
    <w:r w:rsidR="00860622" w:rsidRPr="00361204">
      <w:rPr>
        <w:rStyle w:val="PageNumber"/>
        <w:sz w:val="18"/>
        <w:szCs w:val="18"/>
        <w:lang w:val="es-ES"/>
      </w:rPr>
      <w:t xml:space="preserve"> de </w:t>
    </w:r>
    <w:r w:rsidR="00860622" w:rsidRPr="00545845">
      <w:rPr>
        <w:rStyle w:val="PageNumber"/>
        <w:sz w:val="18"/>
        <w:szCs w:val="18"/>
      </w:rPr>
      <w:fldChar w:fldCharType="begin"/>
    </w:r>
    <w:r w:rsidR="00860622" w:rsidRPr="00361204">
      <w:rPr>
        <w:rStyle w:val="PageNumber"/>
        <w:sz w:val="18"/>
        <w:szCs w:val="18"/>
        <w:lang w:val="es-ES"/>
      </w:rPr>
      <w:instrText xml:space="preserve"> NUMPAGES </w:instrText>
    </w:r>
    <w:r w:rsidR="00860622" w:rsidRPr="00545845">
      <w:rPr>
        <w:rStyle w:val="PageNumber"/>
        <w:sz w:val="18"/>
        <w:szCs w:val="18"/>
      </w:rPr>
      <w:fldChar w:fldCharType="separate"/>
    </w:r>
    <w:r>
      <w:rPr>
        <w:rStyle w:val="PageNumber"/>
        <w:noProof/>
        <w:sz w:val="18"/>
        <w:szCs w:val="18"/>
        <w:lang w:val="es-ES"/>
      </w:rPr>
      <w:t>5</w:t>
    </w:r>
    <w:r w:rsidR="00860622" w:rsidRPr="00545845">
      <w:rPr>
        <w:rStyle w:val="PageNumber"/>
        <w:sz w:val="18"/>
        <w:szCs w:val="18"/>
      </w:rPr>
      <w:fldChar w:fldCharType="end"/>
    </w:r>
  </w:p>
  <w:p w:rsidR="00860622" w:rsidRPr="00361204" w:rsidRDefault="00860622" w:rsidP="00860622">
    <w:pPr>
      <w:pStyle w:val="Footer"/>
      <w:ind w:left="-284"/>
      <w:rPr>
        <w:sz w:val="18"/>
        <w:szCs w:val="18"/>
        <w:lang w:val="es-ES"/>
      </w:rPr>
    </w:pPr>
    <w:r w:rsidRPr="006B2E42">
      <w:rPr>
        <w:sz w:val="18"/>
        <w:szCs w:val="18"/>
      </w:rPr>
      <w:fldChar w:fldCharType="begin"/>
    </w:r>
    <w:r w:rsidRPr="00361204">
      <w:rPr>
        <w:sz w:val="18"/>
        <w:szCs w:val="18"/>
        <w:lang w:val="es-ES"/>
      </w:rPr>
      <w:instrText xml:space="preserve"> FILENAME </w:instrText>
    </w:r>
    <w:r w:rsidRPr="006B2E42">
      <w:rPr>
        <w:sz w:val="18"/>
        <w:szCs w:val="18"/>
      </w:rPr>
      <w:fldChar w:fldCharType="separate"/>
    </w:r>
    <w:r w:rsidR="00915E11">
      <w:rPr>
        <w:noProof/>
        <w:sz w:val="18"/>
        <w:szCs w:val="18"/>
        <w:lang w:val="es-ES"/>
      </w:rPr>
      <w:t>b12a_evaluatorsgrid_fees_es.doc</w:t>
    </w:r>
    <w:r w:rsidRPr="006B2E4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DF6" w:rsidRPr="00AC2723" w:rsidRDefault="00534D50" w:rsidP="00AF1DF6">
    <w:pPr>
      <w:pStyle w:val="Footer"/>
      <w:tabs>
        <w:tab w:val="clear" w:pos="4153"/>
      </w:tabs>
      <w:ind w:left="-284"/>
      <w:rPr>
        <w:rStyle w:val="PageNumber"/>
        <w:sz w:val="18"/>
        <w:szCs w:val="18"/>
        <w:lang w:val="pt-PT"/>
      </w:rPr>
    </w:pPr>
    <w:r w:rsidRPr="00534D50">
      <w:rPr>
        <w:b/>
        <w:snapToGrid w:val="0"/>
        <w:sz w:val="18"/>
        <w:szCs w:val="18"/>
        <w:lang w:val="pt-PT"/>
      </w:rPr>
      <w:t>Agosto 2020</w:t>
    </w:r>
    <w:r w:rsidR="00AF1DF6" w:rsidRPr="00AC2723">
      <w:rPr>
        <w:b/>
        <w:sz w:val="18"/>
        <w:szCs w:val="18"/>
        <w:lang w:val="pt-PT"/>
      </w:rPr>
      <w:tab/>
    </w:r>
    <w:r w:rsidR="00AF1DF6" w:rsidRPr="00AC2723">
      <w:rPr>
        <w:sz w:val="18"/>
        <w:szCs w:val="18"/>
        <w:lang w:val="pt-PT"/>
      </w:rPr>
      <w:t>P</w:t>
    </w:r>
    <w:r w:rsidR="00860622" w:rsidRPr="00AC2723">
      <w:rPr>
        <w:sz w:val="18"/>
        <w:szCs w:val="18"/>
        <w:lang w:val="pt-PT"/>
      </w:rPr>
      <w:t>ágina</w:t>
    </w:r>
    <w:r w:rsidR="00AF1DF6" w:rsidRPr="00AC2723">
      <w:rPr>
        <w:sz w:val="18"/>
        <w:szCs w:val="18"/>
        <w:lang w:val="pt-PT"/>
      </w:rPr>
      <w:t xml:space="preserve"> </w:t>
    </w:r>
    <w:r w:rsidR="00AF1DF6" w:rsidRPr="00545845">
      <w:rPr>
        <w:rStyle w:val="PageNumber"/>
        <w:sz w:val="18"/>
        <w:szCs w:val="18"/>
      </w:rPr>
      <w:fldChar w:fldCharType="begin"/>
    </w:r>
    <w:r w:rsidR="00AF1DF6" w:rsidRPr="00AC2723">
      <w:rPr>
        <w:rStyle w:val="PageNumber"/>
        <w:sz w:val="18"/>
        <w:szCs w:val="18"/>
        <w:lang w:val="pt-PT"/>
      </w:rPr>
      <w:instrText xml:space="preserve"> PAGE </w:instrText>
    </w:r>
    <w:r w:rsidR="00AF1DF6" w:rsidRPr="00545845">
      <w:rPr>
        <w:rStyle w:val="PageNumber"/>
        <w:sz w:val="18"/>
        <w:szCs w:val="18"/>
      </w:rPr>
      <w:fldChar w:fldCharType="separate"/>
    </w:r>
    <w:r>
      <w:rPr>
        <w:rStyle w:val="PageNumber"/>
        <w:noProof/>
        <w:sz w:val="18"/>
        <w:szCs w:val="18"/>
        <w:lang w:val="pt-PT"/>
      </w:rPr>
      <w:t>1</w:t>
    </w:r>
    <w:r w:rsidR="00AF1DF6" w:rsidRPr="00545845">
      <w:rPr>
        <w:rStyle w:val="PageNumber"/>
        <w:sz w:val="18"/>
        <w:szCs w:val="18"/>
      </w:rPr>
      <w:fldChar w:fldCharType="end"/>
    </w:r>
    <w:r w:rsidR="00AF1DF6" w:rsidRPr="00AC2723">
      <w:rPr>
        <w:rStyle w:val="PageNumber"/>
        <w:sz w:val="18"/>
        <w:szCs w:val="18"/>
        <w:lang w:val="pt-PT"/>
      </w:rPr>
      <w:t xml:space="preserve"> </w:t>
    </w:r>
    <w:r w:rsidR="00860622" w:rsidRPr="00AC2723">
      <w:rPr>
        <w:rStyle w:val="PageNumber"/>
        <w:sz w:val="18"/>
        <w:szCs w:val="18"/>
        <w:lang w:val="pt-PT"/>
      </w:rPr>
      <w:t>de</w:t>
    </w:r>
    <w:r w:rsidR="00AF1DF6" w:rsidRPr="00AC2723">
      <w:rPr>
        <w:rStyle w:val="PageNumber"/>
        <w:sz w:val="18"/>
        <w:szCs w:val="18"/>
        <w:lang w:val="pt-PT"/>
      </w:rPr>
      <w:t xml:space="preserve"> </w:t>
    </w:r>
    <w:r w:rsidR="00AF1DF6" w:rsidRPr="00545845">
      <w:rPr>
        <w:rStyle w:val="PageNumber"/>
        <w:sz w:val="18"/>
        <w:szCs w:val="18"/>
      </w:rPr>
      <w:fldChar w:fldCharType="begin"/>
    </w:r>
    <w:r w:rsidR="00AF1DF6" w:rsidRPr="00AC2723">
      <w:rPr>
        <w:rStyle w:val="PageNumber"/>
        <w:sz w:val="18"/>
        <w:szCs w:val="18"/>
        <w:lang w:val="pt-PT"/>
      </w:rPr>
      <w:instrText xml:space="preserve"> NUMPAGES </w:instrText>
    </w:r>
    <w:r w:rsidR="00AF1DF6" w:rsidRPr="00545845">
      <w:rPr>
        <w:rStyle w:val="PageNumber"/>
        <w:sz w:val="18"/>
        <w:szCs w:val="18"/>
      </w:rPr>
      <w:fldChar w:fldCharType="separate"/>
    </w:r>
    <w:r>
      <w:rPr>
        <w:rStyle w:val="PageNumber"/>
        <w:noProof/>
        <w:sz w:val="18"/>
        <w:szCs w:val="18"/>
        <w:lang w:val="pt-PT"/>
      </w:rPr>
      <w:t>5</w:t>
    </w:r>
    <w:r w:rsidR="00AF1DF6" w:rsidRPr="00545845">
      <w:rPr>
        <w:rStyle w:val="PageNumber"/>
        <w:sz w:val="18"/>
        <w:szCs w:val="18"/>
      </w:rPr>
      <w:fldChar w:fldCharType="end"/>
    </w:r>
  </w:p>
  <w:p w:rsidR="00AF1DF6" w:rsidRPr="00361204" w:rsidRDefault="00AF1DF6" w:rsidP="00AF1DF6">
    <w:pPr>
      <w:pStyle w:val="Footer"/>
      <w:ind w:left="-284"/>
      <w:rPr>
        <w:sz w:val="18"/>
        <w:szCs w:val="18"/>
        <w:lang w:val="es-ES"/>
      </w:rPr>
    </w:pPr>
    <w:r w:rsidRPr="006B2E42">
      <w:rPr>
        <w:sz w:val="18"/>
        <w:szCs w:val="18"/>
      </w:rPr>
      <w:fldChar w:fldCharType="begin"/>
    </w:r>
    <w:r w:rsidRPr="00361204">
      <w:rPr>
        <w:sz w:val="18"/>
        <w:szCs w:val="18"/>
        <w:lang w:val="es-ES"/>
      </w:rPr>
      <w:instrText xml:space="preserve"> FILENAME </w:instrText>
    </w:r>
    <w:r w:rsidRPr="006B2E42">
      <w:rPr>
        <w:sz w:val="18"/>
        <w:szCs w:val="18"/>
      </w:rPr>
      <w:fldChar w:fldCharType="separate"/>
    </w:r>
    <w:r w:rsidR="00915E11">
      <w:rPr>
        <w:noProof/>
        <w:sz w:val="18"/>
        <w:szCs w:val="18"/>
        <w:lang w:val="es-ES"/>
      </w:rPr>
      <w:t>b12a_evaluatorsgrid_fees_es.doc</w:t>
    </w:r>
    <w:r w:rsidRPr="006B2E4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D34" w:rsidRDefault="00732D34">
      <w:r>
        <w:separator/>
      </w:r>
    </w:p>
  </w:footnote>
  <w:footnote w:type="continuationSeparator" w:id="0">
    <w:p w:rsidR="00732D34" w:rsidRDefault="00732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D8" w:rsidRPr="00CF44D8" w:rsidRDefault="00CF44D8" w:rsidP="00CF44D8">
    <w:pPr>
      <w:pStyle w:val="Header"/>
      <w:jc w:val="center"/>
      <w:rPr>
        <w:sz w:val="20"/>
        <w:lang w:val="es-ES"/>
      </w:rPr>
    </w:pPr>
    <w:r w:rsidRPr="00CF44D8">
      <w:rPr>
        <w:sz w:val="20"/>
        <w:lang w:val="es-ES"/>
      </w:rPr>
      <w:t>Las puntuaciones máximas deberán corresponder a la tabla de evaluación incluida en el expediente de licitación</w:t>
    </w:r>
  </w:p>
  <w:p w:rsidR="00CF44D8" w:rsidRPr="00CF44D8" w:rsidRDefault="00CF44D8" w:rsidP="00CF44D8">
    <w:pPr>
      <w:pStyle w:val="Header"/>
      <w:jc w:val="center"/>
      <w:rPr>
        <w:sz w:val="16"/>
        <w:lang w:val="es-ES"/>
      </w:rPr>
    </w:pPr>
  </w:p>
  <w:p w:rsidR="00CF44D8" w:rsidRPr="00CF44D8" w:rsidRDefault="00CF44D8" w:rsidP="00CF44D8">
    <w:pPr>
      <w:pStyle w:val="Header"/>
      <w:jc w:val="center"/>
      <w:rPr>
        <w:b/>
        <w:sz w:val="28"/>
        <w:lang w:val="es-ES"/>
      </w:rPr>
    </w:pPr>
    <w:r w:rsidRPr="00CF44D8">
      <w:rPr>
        <w:b/>
        <w:sz w:val="28"/>
        <w:lang w:val="es-ES"/>
      </w:rPr>
      <w:t>TABLA DEL EVALUADOR</w:t>
    </w:r>
  </w:p>
  <w:p w:rsidR="00CF44D8" w:rsidRPr="00CF44D8" w:rsidRDefault="00CF44D8" w:rsidP="00CF44D8">
    <w:pPr>
      <w:pStyle w:val="Header"/>
      <w:jc w:val="center"/>
      <w:rPr>
        <w:lang w:val="es-ES"/>
      </w:rPr>
    </w:pPr>
    <w:r>
      <w:rPr>
        <w:sz w:val="20"/>
        <w:lang w:val="es-ES"/>
      </w:rPr>
      <w:t>C</w:t>
    </w:r>
    <w:r w:rsidRPr="00CF44D8">
      <w:rPr>
        <w:sz w:val="20"/>
        <w:lang w:val="es-ES"/>
      </w:rPr>
      <w:t xml:space="preserve">ada evaluador </w:t>
    </w:r>
    <w:r>
      <w:rPr>
        <w:sz w:val="20"/>
        <w:lang w:val="es-ES"/>
      </w:rPr>
      <w:t>deberá rellenar una para</w:t>
    </w:r>
    <w:r w:rsidRPr="00CF44D8">
      <w:rPr>
        <w:sz w:val="20"/>
        <w:lang w:val="es-ES"/>
      </w:rPr>
      <w:t xml:space="preserve"> cada oferta</w:t>
    </w:r>
  </w:p>
  <w:p w:rsidR="00711892" w:rsidRPr="00CF44D8" w:rsidRDefault="00711892" w:rsidP="00574F9C">
    <w:pPr>
      <w:pStyle w:val="Header"/>
      <w:jc w:val="cent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706AC"/>
    <w:rsid w:val="000B35E9"/>
    <w:rsid w:val="000C4AF0"/>
    <w:rsid w:val="000E27C7"/>
    <w:rsid w:val="00145C3C"/>
    <w:rsid w:val="00170F6E"/>
    <w:rsid w:val="001B51D1"/>
    <w:rsid w:val="001C618A"/>
    <w:rsid w:val="001D6A02"/>
    <w:rsid w:val="001E2CBF"/>
    <w:rsid w:val="001E3B29"/>
    <w:rsid w:val="001E6F87"/>
    <w:rsid w:val="00277E12"/>
    <w:rsid w:val="00285E63"/>
    <w:rsid w:val="002A3AA5"/>
    <w:rsid w:val="002C4AEE"/>
    <w:rsid w:val="00361204"/>
    <w:rsid w:val="00377AE6"/>
    <w:rsid w:val="003841DD"/>
    <w:rsid w:val="003B32D2"/>
    <w:rsid w:val="003B45BC"/>
    <w:rsid w:val="003D2FE8"/>
    <w:rsid w:val="0041737B"/>
    <w:rsid w:val="00435B98"/>
    <w:rsid w:val="00450DFC"/>
    <w:rsid w:val="00460FA5"/>
    <w:rsid w:val="004616BE"/>
    <w:rsid w:val="00463F40"/>
    <w:rsid w:val="0046459C"/>
    <w:rsid w:val="00473D84"/>
    <w:rsid w:val="004F4330"/>
    <w:rsid w:val="005236AC"/>
    <w:rsid w:val="00534D50"/>
    <w:rsid w:val="0054409F"/>
    <w:rsid w:val="00545845"/>
    <w:rsid w:val="005544EF"/>
    <w:rsid w:val="00574F9C"/>
    <w:rsid w:val="00584515"/>
    <w:rsid w:val="005851B2"/>
    <w:rsid w:val="00594969"/>
    <w:rsid w:val="005953A6"/>
    <w:rsid w:val="00596BE0"/>
    <w:rsid w:val="00603EDC"/>
    <w:rsid w:val="00612E39"/>
    <w:rsid w:val="0062023F"/>
    <w:rsid w:val="006313ED"/>
    <w:rsid w:val="0065679E"/>
    <w:rsid w:val="00656C51"/>
    <w:rsid w:val="00667FB8"/>
    <w:rsid w:val="006B1921"/>
    <w:rsid w:val="006B2E42"/>
    <w:rsid w:val="006C239F"/>
    <w:rsid w:val="006F1FDF"/>
    <w:rsid w:val="006F349F"/>
    <w:rsid w:val="00711892"/>
    <w:rsid w:val="00715444"/>
    <w:rsid w:val="007317AA"/>
    <w:rsid w:val="00732D34"/>
    <w:rsid w:val="0078617D"/>
    <w:rsid w:val="007A7495"/>
    <w:rsid w:val="007D580E"/>
    <w:rsid w:val="007F6D80"/>
    <w:rsid w:val="008100E4"/>
    <w:rsid w:val="00827B7F"/>
    <w:rsid w:val="00834E57"/>
    <w:rsid w:val="00847D90"/>
    <w:rsid w:val="00860622"/>
    <w:rsid w:val="008758B8"/>
    <w:rsid w:val="008933FC"/>
    <w:rsid w:val="008A6E67"/>
    <w:rsid w:val="008B633B"/>
    <w:rsid w:val="00915E11"/>
    <w:rsid w:val="00953C5B"/>
    <w:rsid w:val="00961637"/>
    <w:rsid w:val="009C7F3C"/>
    <w:rsid w:val="009E033A"/>
    <w:rsid w:val="009E44A2"/>
    <w:rsid w:val="00A363D7"/>
    <w:rsid w:val="00A7621A"/>
    <w:rsid w:val="00AA6262"/>
    <w:rsid w:val="00AC2723"/>
    <w:rsid w:val="00AF1DF6"/>
    <w:rsid w:val="00B046D2"/>
    <w:rsid w:val="00B05065"/>
    <w:rsid w:val="00B14A6B"/>
    <w:rsid w:val="00B41DE9"/>
    <w:rsid w:val="00B739EA"/>
    <w:rsid w:val="00BC025D"/>
    <w:rsid w:val="00C024CC"/>
    <w:rsid w:val="00C03664"/>
    <w:rsid w:val="00C45C25"/>
    <w:rsid w:val="00C80E57"/>
    <w:rsid w:val="00CA092C"/>
    <w:rsid w:val="00CA42DD"/>
    <w:rsid w:val="00CC005A"/>
    <w:rsid w:val="00CC52A6"/>
    <w:rsid w:val="00CE0B89"/>
    <w:rsid w:val="00CF36DB"/>
    <w:rsid w:val="00CF44D8"/>
    <w:rsid w:val="00D825C1"/>
    <w:rsid w:val="00D86CAC"/>
    <w:rsid w:val="00D9230A"/>
    <w:rsid w:val="00D96E1A"/>
    <w:rsid w:val="00DA3BAA"/>
    <w:rsid w:val="00DB2BB7"/>
    <w:rsid w:val="00E63F30"/>
    <w:rsid w:val="00E67E1E"/>
    <w:rsid w:val="00EB131A"/>
    <w:rsid w:val="00EC0410"/>
    <w:rsid w:val="00F8393D"/>
    <w:rsid w:val="00FE42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D50482EF-AA7C-498C-AEC3-B1260994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character" w:customStyle="1" w:styleId="HeaderChar">
    <w:name w:val="Header Char"/>
    <w:link w:val="Header"/>
    <w:uiPriority w:val="99"/>
    <w:rsid w:val="00CF44D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A6F6C-F5B8-449D-AC77-0C104D084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1364</Words>
  <Characters>7789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MORARIU Maria- Claudia (DEVCO)</cp:lastModifiedBy>
  <cp:revision>4</cp:revision>
  <cp:lastPrinted>2013-05-13T07:15:00Z</cp:lastPrinted>
  <dcterms:created xsi:type="dcterms:W3CDTF">2018-12-18T14:39:00Z</dcterms:created>
  <dcterms:modified xsi:type="dcterms:W3CDTF">2020-07-24T15:16:00Z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