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C12" w:rsidRPr="00E2720F" w:rsidRDefault="005A4C12" w:rsidP="00364324">
      <w:pPr>
        <w:pStyle w:val="Heading"/>
        <w:spacing w:after="480"/>
        <w:rPr>
          <w:lang w:val="es-ES" w:eastAsia="en-GB"/>
        </w:rPr>
      </w:pPr>
      <w:r w:rsidRPr="00E2720F">
        <w:rPr>
          <w:rFonts w:ascii="Times New Roman" w:hAnsi="Times New Roman" w:cs="Times New Roman"/>
          <w:lang w:val="es-ES"/>
        </w:rPr>
        <w:t>Publicación de licitaciones</w:t>
      </w:r>
    </w:p>
    <w:p w:rsidR="00C40E02" w:rsidRPr="00D563FC" w:rsidRDefault="005A4C12" w:rsidP="00364324">
      <w:pPr>
        <w:spacing w:after="240" w:line="276" w:lineRule="auto"/>
        <w:jc w:val="both"/>
        <w:rPr>
          <w:lang w:val="es-ES" w:eastAsia="en-GB"/>
        </w:rPr>
      </w:pPr>
      <w:r w:rsidRPr="00D563FC">
        <w:rPr>
          <w:lang w:val="es-ES" w:eastAsia="en-GB"/>
        </w:rPr>
        <w:t xml:space="preserve">La presente </w:t>
      </w:r>
      <w:r w:rsidR="00EA3886" w:rsidRPr="00D563FC">
        <w:rPr>
          <w:lang w:val="es-ES" w:eastAsia="en-GB"/>
        </w:rPr>
        <w:t>Guía</w:t>
      </w:r>
      <w:r w:rsidRPr="00D563FC">
        <w:rPr>
          <w:lang w:val="es-ES" w:eastAsia="en-GB"/>
        </w:rPr>
        <w:t xml:space="preserve"> está concebida para </w:t>
      </w:r>
      <w:r w:rsidR="00E1372B">
        <w:rPr>
          <w:lang w:val="es-ES" w:eastAsia="en-GB"/>
        </w:rPr>
        <w:t>los</w:t>
      </w:r>
      <w:r w:rsidRPr="00D563FC">
        <w:rPr>
          <w:lang w:val="es-ES" w:eastAsia="en-GB"/>
        </w:rPr>
        <w:t xml:space="preserve"> </w:t>
      </w:r>
      <w:r w:rsidR="00EE2428" w:rsidRPr="00D563FC">
        <w:rPr>
          <w:lang w:val="es-ES" w:eastAsia="en-GB"/>
        </w:rPr>
        <w:t>Ó</w:t>
      </w:r>
      <w:r w:rsidRPr="00D563FC">
        <w:rPr>
          <w:lang w:val="es-ES" w:eastAsia="en-GB"/>
        </w:rPr>
        <w:t>rgano</w:t>
      </w:r>
      <w:r w:rsidR="00E1372B">
        <w:rPr>
          <w:lang w:val="es-ES" w:eastAsia="en-GB"/>
        </w:rPr>
        <w:t>s</w:t>
      </w:r>
      <w:r w:rsidRPr="00D563FC">
        <w:rPr>
          <w:lang w:val="es-ES" w:eastAsia="en-GB"/>
        </w:rPr>
        <w:t xml:space="preserve"> de </w:t>
      </w:r>
      <w:r w:rsidR="00EE2428" w:rsidRPr="00D563FC">
        <w:rPr>
          <w:lang w:val="es-ES" w:eastAsia="en-GB"/>
        </w:rPr>
        <w:t>C</w:t>
      </w:r>
      <w:r w:rsidRPr="00D563FC">
        <w:rPr>
          <w:lang w:val="es-ES" w:eastAsia="en-GB"/>
        </w:rPr>
        <w:t xml:space="preserve">ontratación </w:t>
      </w:r>
      <w:r w:rsidR="00EE2428" w:rsidRPr="00D563FC">
        <w:rPr>
          <w:lang w:val="es-ES" w:eastAsia="en-GB"/>
        </w:rPr>
        <w:t>que</w:t>
      </w:r>
      <w:r w:rsidRPr="00D563FC">
        <w:rPr>
          <w:lang w:val="es-ES" w:eastAsia="en-GB"/>
        </w:rPr>
        <w:t xml:space="preserve"> gesti</w:t>
      </w:r>
      <w:r w:rsidR="00EE2428" w:rsidRPr="00D563FC">
        <w:rPr>
          <w:lang w:val="es-ES" w:eastAsia="en-GB"/>
        </w:rPr>
        <w:t>ona</w:t>
      </w:r>
      <w:r w:rsidR="00E1372B">
        <w:rPr>
          <w:lang w:val="es-ES" w:eastAsia="en-GB"/>
        </w:rPr>
        <w:t>n</w:t>
      </w:r>
      <w:r w:rsidR="00EE2428" w:rsidRPr="00D563FC">
        <w:rPr>
          <w:lang w:val="es-ES" w:eastAsia="en-GB"/>
        </w:rPr>
        <w:t xml:space="preserve"> los</w:t>
      </w:r>
      <w:r w:rsidRPr="00D563FC">
        <w:rPr>
          <w:lang w:val="es-ES" w:eastAsia="en-GB"/>
        </w:rPr>
        <w:t xml:space="preserve"> </w:t>
      </w:r>
      <w:r w:rsidR="00E1372B">
        <w:rPr>
          <w:lang w:val="es-ES" w:eastAsia="en-GB"/>
        </w:rPr>
        <w:t xml:space="preserve">procedimientos de contratación </w:t>
      </w:r>
      <w:r w:rsidR="00110171">
        <w:rPr>
          <w:lang w:val="es-ES" w:eastAsia="en-GB"/>
        </w:rPr>
        <w:t xml:space="preserve">en el marco de los programas </w:t>
      </w:r>
      <w:r w:rsidRPr="00D563FC">
        <w:rPr>
          <w:lang w:val="es-ES" w:eastAsia="en-GB"/>
        </w:rPr>
        <w:t>de ayuda exterior de la Unión Europea. Incluye información práctica sobre los procedimientos de publicación de los contratos públicos</w:t>
      </w:r>
      <w:r w:rsidR="00110171">
        <w:rPr>
          <w:lang w:val="es-ES" w:eastAsia="en-GB"/>
        </w:rPr>
        <w:t xml:space="preserve"> en gestión directa e indirecta</w:t>
      </w:r>
      <w:r w:rsidRPr="00D563FC">
        <w:rPr>
          <w:lang w:val="es-ES" w:eastAsia="en-GB"/>
        </w:rPr>
        <w:t>.</w:t>
      </w:r>
    </w:p>
    <w:p w:rsidR="00C40E02" w:rsidRPr="00D563FC" w:rsidRDefault="00C40E02">
      <w:pPr>
        <w:spacing w:after="240" w:line="276" w:lineRule="auto"/>
        <w:jc w:val="both"/>
        <w:rPr>
          <w:lang w:val="es-ES" w:eastAsia="en-GB"/>
        </w:rPr>
      </w:pPr>
      <w:r w:rsidRPr="00D563FC">
        <w:rPr>
          <w:lang w:val="es-ES" w:eastAsia="en-GB"/>
        </w:rPr>
        <w:t>Para la publicación de convocatorias de propuestas (subvenciones) en gestión directa</w:t>
      </w:r>
      <w:r w:rsidR="009F5F23">
        <w:rPr>
          <w:lang w:val="es-ES" w:eastAsia="en-GB"/>
        </w:rPr>
        <w:t xml:space="preserve"> o indirecta y </w:t>
      </w:r>
      <w:r w:rsidR="00A414BF">
        <w:rPr>
          <w:lang w:val="es-ES" w:eastAsia="en-GB"/>
        </w:rPr>
        <w:t>convocatorias de propuestas de proyectos de ‘</w:t>
      </w:r>
      <w:r w:rsidR="009F5F23" w:rsidRPr="009F5F23">
        <w:rPr>
          <w:lang w:val="es-ES" w:eastAsia="en-GB"/>
        </w:rPr>
        <w:t>Hermanamiento</w:t>
      </w:r>
      <w:r w:rsidR="00A414BF">
        <w:rPr>
          <w:lang w:val="es-ES" w:eastAsia="en-GB"/>
        </w:rPr>
        <w:t>’ Twinning</w:t>
      </w:r>
      <w:r w:rsidRPr="00D563FC">
        <w:rPr>
          <w:lang w:val="es-ES" w:eastAsia="en-GB"/>
        </w:rPr>
        <w:t>, consulte las páginas web pertinentes de los dos instrumentos en línea: PADOR</w:t>
      </w:r>
      <w:r w:rsidRPr="00D563FC">
        <w:rPr>
          <w:rStyle w:val="FootnoteReference"/>
          <w:noProof/>
          <w:lang w:val="es-ES"/>
        </w:rPr>
        <w:footnoteReference w:id="1"/>
      </w:r>
      <w:r w:rsidRPr="00D563FC">
        <w:rPr>
          <w:lang w:val="es-ES" w:eastAsia="en-GB"/>
        </w:rPr>
        <w:t xml:space="preserve"> y PROSPECT</w:t>
      </w:r>
      <w:r w:rsidRPr="00D563FC">
        <w:rPr>
          <w:rStyle w:val="FootnoteReference"/>
          <w:noProof/>
          <w:lang w:val="es-ES"/>
        </w:rPr>
        <w:footnoteReference w:id="2"/>
      </w:r>
      <w:r w:rsidRPr="00D563FC">
        <w:rPr>
          <w:lang w:val="es-ES" w:eastAsia="en-GB"/>
        </w:rPr>
        <w:t xml:space="preserve">. Las convocatorias de propuestas solo se publican en el </w:t>
      </w:r>
      <w:r w:rsidR="00531045" w:rsidRPr="005D0319">
        <w:rPr>
          <w:lang w:val="es-ES"/>
        </w:rPr>
        <w:t xml:space="preserve">sitio </w:t>
      </w:r>
      <w:hyperlink r:id="rId8" w:history="1">
        <w:r w:rsidR="00531045" w:rsidRPr="005D0319">
          <w:rPr>
            <w:rStyle w:val="Hyperlink"/>
            <w:lang w:val="es-ES"/>
          </w:rPr>
          <w:t xml:space="preserve">web de la DG </w:t>
        </w:r>
        <w:r w:rsidR="00D6262A" w:rsidRPr="005D0319">
          <w:rPr>
            <w:rStyle w:val="Hyperlink"/>
            <w:lang w:val="es-ES"/>
          </w:rPr>
          <w:t>International Partnerships</w:t>
        </w:r>
      </w:hyperlink>
      <w:r w:rsidR="00110171">
        <w:rPr>
          <w:rStyle w:val="FootnoteReference"/>
          <w:noProof/>
          <w:color w:val="0000FF"/>
          <w:u w:val="single"/>
          <w:lang w:val="es-ES_tradnl"/>
        </w:rPr>
        <w:footnoteReference w:id="3"/>
      </w:r>
      <w:r w:rsidRPr="00D563FC">
        <w:rPr>
          <w:lang w:val="es-ES" w:eastAsia="en-GB"/>
        </w:rPr>
        <w:t>; las convocatorias de propuestas locales también se publican localmente.</w:t>
      </w:r>
      <w:r w:rsidR="00110171">
        <w:rPr>
          <w:lang w:val="es-ES" w:eastAsia="en-GB"/>
        </w:rPr>
        <w:t xml:space="preserve"> </w:t>
      </w:r>
      <w:r w:rsidR="00110171" w:rsidRPr="00110171">
        <w:rPr>
          <w:lang w:val="es-ES" w:eastAsia="en-GB"/>
        </w:rPr>
        <w:t xml:space="preserve">Las subvenciones concedidas en el marco del presupuesto-programa, si no se publican localmente, deben publicarse en el </w:t>
      </w:r>
      <w:hyperlink r:id="rId9" w:history="1">
        <w:r w:rsidR="00110171" w:rsidRPr="00B5103F">
          <w:rPr>
            <w:rStyle w:val="Hyperlink"/>
            <w:lang w:val="es-ES" w:eastAsia="en-GB"/>
          </w:rPr>
          <w:t xml:space="preserve">sitio web de la DG </w:t>
        </w:r>
        <w:r w:rsidR="00D6262A" w:rsidRPr="00B5103F">
          <w:rPr>
            <w:rStyle w:val="Hyperlink"/>
            <w:noProof/>
            <w:lang w:val="es-ES_tradnl"/>
          </w:rPr>
          <w:t>International Partnerships</w:t>
        </w:r>
      </w:hyperlink>
      <w:r w:rsidR="00364324">
        <w:rPr>
          <w:lang w:val="es-ES" w:eastAsia="en-GB"/>
        </w:rPr>
        <w:t xml:space="preserve"> a través de PROSPECT (</w:t>
      </w:r>
      <w:r w:rsidR="00110171" w:rsidRPr="00110171">
        <w:rPr>
          <w:lang w:val="es-ES" w:eastAsia="en-GB"/>
        </w:rPr>
        <w:t xml:space="preserve">secciones </w:t>
      </w:r>
      <w:r w:rsidR="00364324">
        <w:rPr>
          <w:lang w:val="es-ES" w:eastAsia="en-GB"/>
        </w:rPr>
        <w:t xml:space="preserve">del PRAG </w:t>
      </w:r>
      <w:r w:rsidR="00110171" w:rsidRPr="00110171">
        <w:rPr>
          <w:lang w:val="es-ES" w:eastAsia="en-GB"/>
        </w:rPr>
        <w:t xml:space="preserve">2.10.3.2 y 6.5.11.1). Las convocatorias de propuestas relacionadas con el Fondo </w:t>
      </w:r>
      <w:r w:rsidR="00110171">
        <w:rPr>
          <w:lang w:val="es-ES" w:eastAsia="en-GB"/>
        </w:rPr>
        <w:t xml:space="preserve">Fiduciario </w:t>
      </w:r>
      <w:r w:rsidR="00110171" w:rsidRPr="00110171">
        <w:rPr>
          <w:lang w:val="es-ES" w:eastAsia="en-GB"/>
        </w:rPr>
        <w:t>no se publicarán en PROSPECT.</w:t>
      </w:r>
    </w:p>
    <w:p w:rsidR="005A4C12" w:rsidRPr="00D563FC" w:rsidRDefault="005A4C12">
      <w:pPr>
        <w:spacing w:after="240" w:line="276" w:lineRule="auto"/>
        <w:jc w:val="both"/>
        <w:rPr>
          <w:b/>
          <w:lang w:val="es-ES" w:eastAsia="en-GB"/>
        </w:rPr>
      </w:pPr>
      <w:r w:rsidRPr="00D563FC">
        <w:rPr>
          <w:lang w:val="es-ES" w:eastAsia="en-GB"/>
        </w:rPr>
        <w:t xml:space="preserve">Téngase en cuenta que los contratos </w:t>
      </w:r>
      <w:r w:rsidR="00C40E02" w:rsidRPr="00D563FC">
        <w:rPr>
          <w:lang w:val="es-ES" w:eastAsia="en-GB"/>
        </w:rPr>
        <w:t xml:space="preserve">públicos </w:t>
      </w:r>
      <w:r w:rsidR="00EE2428" w:rsidRPr="00D563FC">
        <w:rPr>
          <w:lang w:val="es-ES" w:eastAsia="en-GB"/>
        </w:rPr>
        <w:t>adjudicados</w:t>
      </w:r>
      <w:r w:rsidRPr="00D563FC">
        <w:rPr>
          <w:lang w:val="es-ES" w:eastAsia="en-GB"/>
        </w:rPr>
        <w:t xml:space="preserve"> por l</w:t>
      </w:r>
      <w:r w:rsidR="00EE2428" w:rsidRPr="00D563FC">
        <w:rPr>
          <w:lang w:val="es-ES" w:eastAsia="en-GB"/>
        </w:rPr>
        <w:t>os</w:t>
      </w:r>
      <w:r w:rsidRPr="00D563FC">
        <w:rPr>
          <w:lang w:val="es-ES" w:eastAsia="en-GB"/>
        </w:rPr>
        <w:t xml:space="preserve"> beneficiario</w:t>
      </w:r>
      <w:r w:rsidR="00EE2428" w:rsidRPr="00D563FC">
        <w:rPr>
          <w:lang w:val="es-ES" w:eastAsia="en-GB"/>
        </w:rPr>
        <w:t>s</w:t>
      </w:r>
      <w:r w:rsidRPr="00D563FC">
        <w:rPr>
          <w:lang w:val="es-ES" w:eastAsia="en-GB"/>
        </w:rPr>
        <w:t xml:space="preserve"> de subvenci</w:t>
      </w:r>
      <w:r w:rsidR="00EE2428" w:rsidRPr="00D563FC">
        <w:rPr>
          <w:lang w:val="es-ES" w:eastAsia="en-GB"/>
        </w:rPr>
        <w:t>ones</w:t>
      </w:r>
      <w:r w:rsidRPr="00D563FC">
        <w:rPr>
          <w:lang w:val="es-ES" w:eastAsia="en-GB"/>
        </w:rPr>
        <w:t xml:space="preserve"> </w:t>
      </w:r>
      <w:r w:rsidR="00EE2428" w:rsidRPr="00D563FC">
        <w:rPr>
          <w:lang w:val="es-ES" w:eastAsia="en-GB"/>
        </w:rPr>
        <w:t xml:space="preserve">no </w:t>
      </w:r>
      <w:r w:rsidRPr="00D563FC">
        <w:rPr>
          <w:lang w:val="es-ES" w:eastAsia="en-GB"/>
        </w:rPr>
        <w:t xml:space="preserve">se publican </w:t>
      </w:r>
      <w:r w:rsidRPr="00D563FC">
        <w:rPr>
          <w:u w:val="single"/>
          <w:lang w:val="es-ES" w:eastAsia="en-GB"/>
        </w:rPr>
        <w:t>ni</w:t>
      </w:r>
      <w:r w:rsidRPr="00D563FC">
        <w:rPr>
          <w:lang w:val="es-ES" w:eastAsia="en-GB"/>
        </w:rPr>
        <w:t xml:space="preserve"> en el </w:t>
      </w:r>
      <w:r w:rsidR="00E211E8">
        <w:rPr>
          <w:lang w:val="es-ES" w:eastAsia="en-GB"/>
        </w:rPr>
        <w:t xml:space="preserve">Suplemento at </w:t>
      </w:r>
      <w:r w:rsidR="00EE2428" w:rsidRPr="00B33BFF">
        <w:rPr>
          <w:lang w:val="es-ES" w:eastAsia="en-GB"/>
        </w:rPr>
        <w:t>Diario</w:t>
      </w:r>
      <w:r w:rsidRPr="00B33BFF">
        <w:rPr>
          <w:lang w:val="es-ES" w:eastAsia="en-GB"/>
        </w:rPr>
        <w:t xml:space="preserve"> Oficial</w:t>
      </w:r>
      <w:r w:rsidRPr="00E211E8">
        <w:rPr>
          <w:lang w:val="es-ES" w:eastAsia="en-GB"/>
        </w:rPr>
        <w:t xml:space="preserve"> </w:t>
      </w:r>
      <w:r w:rsidR="00C40E02" w:rsidRPr="00B33BFF">
        <w:rPr>
          <w:lang w:val="es-ES" w:eastAsia="en-GB"/>
        </w:rPr>
        <w:t>de la Unión Europea</w:t>
      </w:r>
      <w:r w:rsidR="00E211E8">
        <w:rPr>
          <w:lang w:val="es-ES" w:eastAsia="en-GB"/>
        </w:rPr>
        <w:t xml:space="preserve"> (TED)</w:t>
      </w:r>
      <w:r w:rsidR="00C40E02" w:rsidRPr="00D563FC">
        <w:rPr>
          <w:lang w:val="es-ES" w:eastAsia="en-GB"/>
        </w:rPr>
        <w:t xml:space="preserve"> </w:t>
      </w:r>
      <w:r w:rsidRPr="00D563FC">
        <w:rPr>
          <w:u w:val="single"/>
          <w:lang w:val="es-ES" w:eastAsia="en-GB"/>
        </w:rPr>
        <w:t>ni</w:t>
      </w:r>
      <w:r w:rsidRPr="00D563FC">
        <w:rPr>
          <w:lang w:val="es-ES" w:eastAsia="en-GB"/>
        </w:rPr>
        <w:t xml:space="preserve"> en el </w:t>
      </w:r>
      <w:r w:rsidR="00B5103F" w:rsidRPr="005D0319">
        <w:rPr>
          <w:lang w:val="es-ES"/>
        </w:rPr>
        <w:t xml:space="preserve">sitio web de la DG </w:t>
      </w:r>
      <w:r w:rsidR="006A17CD" w:rsidRPr="006A17CD">
        <w:rPr>
          <w:lang w:val="es-ES"/>
        </w:rPr>
        <w:t>Interna</w:t>
      </w:r>
      <w:r w:rsidR="006A17CD">
        <w:rPr>
          <w:lang w:val="es-ES"/>
        </w:rPr>
        <w:t>t</w:t>
      </w:r>
      <w:r w:rsidR="00B5103F" w:rsidRPr="005D0319">
        <w:rPr>
          <w:lang w:val="es-ES"/>
        </w:rPr>
        <w:t xml:space="preserve">ional </w:t>
      </w:r>
      <w:r w:rsidR="00B5103F" w:rsidRPr="002953EB">
        <w:rPr>
          <w:lang w:val="es-ES"/>
        </w:rPr>
        <w:t>Partnerships</w:t>
      </w:r>
      <w:r w:rsidRPr="00D563FC">
        <w:rPr>
          <w:lang w:val="es-ES" w:eastAsia="en-GB"/>
        </w:rPr>
        <w:t xml:space="preserve">. Lo mismo se aplica en el caso de las subvenciones </w:t>
      </w:r>
      <w:r w:rsidR="00EC2012" w:rsidRPr="00D563FC">
        <w:rPr>
          <w:lang w:val="es-ES" w:eastAsia="en-GB"/>
        </w:rPr>
        <w:t xml:space="preserve">concedidas </w:t>
      </w:r>
      <w:r w:rsidRPr="00D563FC">
        <w:rPr>
          <w:lang w:val="es-ES" w:eastAsia="en-GB"/>
        </w:rPr>
        <w:t>y los contratos adjudicados por organizaciones internacionales en el marco del</w:t>
      </w:r>
      <w:r w:rsidR="00C40E02" w:rsidRPr="00D563FC">
        <w:rPr>
          <w:lang w:val="es-ES" w:eastAsia="en-GB"/>
        </w:rPr>
        <w:t xml:space="preserve"> </w:t>
      </w:r>
      <w:r w:rsidR="00E211E8">
        <w:rPr>
          <w:lang w:val="es-ES" w:eastAsia="en-GB"/>
        </w:rPr>
        <w:t>convenio de contribución</w:t>
      </w:r>
      <w:r w:rsidR="00261A14" w:rsidRPr="00D563FC">
        <w:rPr>
          <w:lang w:val="es-ES" w:eastAsia="en-GB"/>
        </w:rPr>
        <w:t>,</w:t>
      </w:r>
      <w:r w:rsidRPr="00D563FC">
        <w:rPr>
          <w:lang w:val="es-ES" w:eastAsia="en-GB"/>
        </w:rPr>
        <w:t xml:space="preserve"> y </w:t>
      </w:r>
      <w:r w:rsidR="00261A14" w:rsidRPr="00D563FC">
        <w:rPr>
          <w:lang w:val="es-ES" w:eastAsia="en-GB"/>
        </w:rPr>
        <w:t xml:space="preserve">de </w:t>
      </w:r>
      <w:r w:rsidRPr="00D563FC">
        <w:rPr>
          <w:lang w:val="es-ES" w:eastAsia="en-GB"/>
        </w:rPr>
        <w:t xml:space="preserve">los contratos </w:t>
      </w:r>
      <w:r w:rsidR="00B82949" w:rsidRPr="00D563FC">
        <w:rPr>
          <w:lang w:val="es-ES" w:eastAsia="en-GB"/>
        </w:rPr>
        <w:t>financiados mediante el componente de anticipos del presupuesto de los presupuestos-programa</w:t>
      </w:r>
      <w:r w:rsidRPr="00D563FC">
        <w:rPr>
          <w:lang w:val="es-ES" w:eastAsia="en-GB"/>
        </w:rPr>
        <w:t>.</w:t>
      </w:r>
    </w:p>
    <w:p w:rsidR="005A4C12" w:rsidRPr="00E2720F" w:rsidRDefault="005A4C12" w:rsidP="00B33BFF">
      <w:pPr>
        <w:pBdr>
          <w:top w:val="single" w:sz="4" w:space="1" w:color="000000"/>
          <w:left w:val="single" w:sz="4" w:space="0" w:color="000000"/>
          <w:bottom w:val="single" w:sz="4" w:space="1" w:color="000000"/>
          <w:right w:val="single" w:sz="4" w:space="4" w:color="000000"/>
        </w:pBdr>
        <w:shd w:val="clear" w:color="auto" w:fill="D9D9D9"/>
        <w:autoSpaceDE w:val="0"/>
        <w:jc w:val="both"/>
        <w:rPr>
          <w:lang w:val="es-ES" w:eastAsia="en-GB"/>
        </w:rPr>
      </w:pPr>
      <w:r w:rsidRPr="00E2720F">
        <w:rPr>
          <w:b/>
          <w:color w:val="000000"/>
          <w:lang w:val="es-ES" w:eastAsia="en-GB"/>
        </w:rPr>
        <w:t>Normas</w:t>
      </w:r>
    </w:p>
    <w:p w:rsidR="008F724E" w:rsidRPr="00E2720F" w:rsidRDefault="001F0343" w:rsidP="00B33BFF">
      <w:pPr>
        <w:numPr>
          <w:ilvl w:val="0"/>
          <w:numId w:val="20"/>
        </w:numPr>
        <w:tabs>
          <w:tab w:val="clear" w:pos="360"/>
        </w:tabs>
        <w:suppressAutoHyphens w:val="0"/>
        <w:autoSpaceDE w:val="0"/>
        <w:autoSpaceDN w:val="0"/>
        <w:adjustRightInd w:val="0"/>
        <w:spacing w:before="120" w:after="120"/>
        <w:ind w:left="426"/>
        <w:jc w:val="both"/>
        <w:rPr>
          <w:lang w:val="es-ES"/>
        </w:rPr>
      </w:pPr>
      <w:hyperlink r:id="rId10" w:history="1">
        <w:r w:rsidR="008F724E" w:rsidRPr="00E2720F">
          <w:rPr>
            <w:rStyle w:val="Hyperlink"/>
            <w:noProof/>
            <w:lang w:val="es-ES"/>
          </w:rPr>
          <w:t>La Guia Práctica</w:t>
        </w:r>
      </w:hyperlink>
      <w:r w:rsidR="008F724E" w:rsidRPr="00E2720F">
        <w:rPr>
          <w:noProof/>
          <w:lang w:val="es-ES"/>
        </w:rPr>
        <w:t xml:space="preserve"> describe las </w:t>
      </w:r>
      <w:r w:rsidR="00EA3886" w:rsidRPr="00E2720F">
        <w:rPr>
          <w:noProof/>
          <w:lang w:val="es-ES"/>
        </w:rPr>
        <w:t>normas</w:t>
      </w:r>
      <w:r w:rsidR="008F724E" w:rsidRPr="00E2720F">
        <w:rPr>
          <w:noProof/>
          <w:lang w:val="es-ES"/>
        </w:rPr>
        <w:t xml:space="preserve"> que deben cumplirse: </w:t>
      </w:r>
      <w:r w:rsidR="007E13E1">
        <w:rPr>
          <w:noProof/>
          <w:lang w:val="es-ES"/>
        </w:rPr>
        <w:t>secciones</w:t>
      </w:r>
      <w:r w:rsidR="008F724E" w:rsidRPr="00E2720F">
        <w:rPr>
          <w:noProof/>
          <w:lang w:val="es-ES"/>
        </w:rPr>
        <w:t xml:space="preserve"> 2.</w:t>
      </w:r>
      <w:r w:rsidR="007E13E1">
        <w:rPr>
          <w:noProof/>
          <w:lang w:val="es-ES"/>
        </w:rPr>
        <w:t>10</w:t>
      </w:r>
      <w:r w:rsidR="008F724E" w:rsidRPr="00E2720F">
        <w:rPr>
          <w:noProof/>
          <w:lang w:val="es-ES"/>
        </w:rPr>
        <w:t>.3 y 3.</w:t>
      </w:r>
      <w:r w:rsidR="007E13E1">
        <w:rPr>
          <w:noProof/>
          <w:lang w:val="es-ES"/>
        </w:rPr>
        <w:t>4</w:t>
      </w:r>
      <w:r w:rsidR="008F724E" w:rsidRPr="00E2720F">
        <w:rPr>
          <w:noProof/>
          <w:lang w:val="es-ES"/>
        </w:rPr>
        <w:t xml:space="preserve">.1 para servicios, </w:t>
      </w:r>
      <w:r w:rsidR="007E13E1">
        <w:rPr>
          <w:noProof/>
          <w:lang w:val="es-ES"/>
        </w:rPr>
        <w:t>secciones</w:t>
      </w:r>
      <w:r w:rsidR="008F724E" w:rsidRPr="00E2720F">
        <w:rPr>
          <w:noProof/>
          <w:lang w:val="es-ES"/>
        </w:rPr>
        <w:t xml:space="preserve"> 4.3.1 y 4.3.11.3 para suministros</w:t>
      </w:r>
      <w:r w:rsidR="007E13E1">
        <w:rPr>
          <w:noProof/>
          <w:lang w:val="es-ES"/>
        </w:rPr>
        <w:t xml:space="preserve"> y</w:t>
      </w:r>
      <w:r w:rsidR="00C40E02" w:rsidRPr="00E2720F">
        <w:rPr>
          <w:noProof/>
          <w:lang w:val="es-ES"/>
        </w:rPr>
        <w:t xml:space="preserve"> </w:t>
      </w:r>
      <w:r w:rsidR="007E13E1">
        <w:rPr>
          <w:noProof/>
          <w:lang w:val="es-ES"/>
        </w:rPr>
        <w:t>secciones</w:t>
      </w:r>
      <w:r w:rsidR="008F724E" w:rsidRPr="00E2720F">
        <w:rPr>
          <w:noProof/>
          <w:lang w:val="es-ES"/>
        </w:rPr>
        <w:t xml:space="preserve"> 5.3.1 y 5.3.11.</w:t>
      </w:r>
      <w:r w:rsidR="00C5407E">
        <w:rPr>
          <w:noProof/>
          <w:lang w:val="es-ES"/>
        </w:rPr>
        <w:t>4</w:t>
      </w:r>
      <w:r w:rsidR="008F724E" w:rsidRPr="00E2720F">
        <w:rPr>
          <w:noProof/>
          <w:lang w:val="es-ES"/>
        </w:rPr>
        <w:t xml:space="preserve"> para obras.</w:t>
      </w:r>
    </w:p>
    <w:p w:rsidR="005A4C12" w:rsidRPr="00E2720F" w:rsidRDefault="008F724E" w:rsidP="00B33BFF">
      <w:pPr>
        <w:numPr>
          <w:ilvl w:val="0"/>
          <w:numId w:val="20"/>
        </w:numPr>
        <w:tabs>
          <w:tab w:val="clear" w:pos="360"/>
        </w:tabs>
        <w:suppressAutoHyphens w:val="0"/>
        <w:autoSpaceDE w:val="0"/>
        <w:autoSpaceDN w:val="0"/>
        <w:adjustRightInd w:val="0"/>
        <w:spacing w:before="120" w:after="120"/>
        <w:ind w:left="426"/>
        <w:jc w:val="both"/>
        <w:rPr>
          <w:lang w:val="es-ES"/>
        </w:rPr>
      </w:pPr>
      <w:r w:rsidRPr="00E2720F">
        <w:rPr>
          <w:lang w:val="es-ES"/>
        </w:rPr>
        <w:t>Cuando un documento se publica en diversos medios, la publicación debe hacerse simultáneamente y el contenido del documento debe ser idéntico en los diversos medios utilizados</w:t>
      </w:r>
      <w:r w:rsidR="005A4C12" w:rsidRPr="00E2720F">
        <w:rPr>
          <w:lang w:val="es-ES"/>
        </w:rPr>
        <w:t>.</w:t>
      </w:r>
    </w:p>
    <w:p w:rsidR="008F724E" w:rsidRPr="00E2720F" w:rsidRDefault="008F724E" w:rsidP="00B33BFF">
      <w:pPr>
        <w:autoSpaceDE w:val="0"/>
        <w:autoSpaceDN w:val="0"/>
        <w:adjustRightInd w:val="0"/>
        <w:jc w:val="both"/>
        <w:rPr>
          <w:lang w:val="es-ES"/>
        </w:rPr>
      </w:pPr>
    </w:p>
    <w:p w:rsidR="008F724E" w:rsidRPr="00E2720F" w:rsidRDefault="008F724E" w:rsidP="00B33BFF">
      <w:pPr>
        <w:numPr>
          <w:ilvl w:val="0"/>
          <w:numId w:val="20"/>
        </w:numPr>
        <w:tabs>
          <w:tab w:val="clear" w:pos="360"/>
        </w:tabs>
        <w:suppressAutoHyphens w:val="0"/>
        <w:autoSpaceDE w:val="0"/>
        <w:autoSpaceDN w:val="0"/>
        <w:adjustRightInd w:val="0"/>
        <w:spacing w:before="120" w:after="120"/>
        <w:ind w:left="426"/>
        <w:jc w:val="both"/>
        <w:rPr>
          <w:lang w:val="es-ES"/>
        </w:rPr>
      </w:pPr>
      <w:r w:rsidRPr="00E2720F">
        <w:rPr>
          <w:noProof/>
          <w:lang w:val="es-ES"/>
        </w:rPr>
        <w:t xml:space="preserve">Las licitaciones </w:t>
      </w:r>
      <w:r w:rsidR="00E211E8">
        <w:rPr>
          <w:noProof/>
          <w:lang w:val="es-ES"/>
        </w:rPr>
        <w:t xml:space="preserve">locales e </w:t>
      </w:r>
      <w:r w:rsidRPr="00E2720F">
        <w:rPr>
          <w:noProof/>
          <w:lang w:val="es-ES"/>
        </w:rPr>
        <w:t>internacionales deben</w:t>
      </w:r>
      <w:r w:rsidR="00E211E8">
        <w:rPr>
          <w:noProof/>
          <w:lang w:val="es-ES"/>
        </w:rPr>
        <w:t xml:space="preserve"> completarse via </w:t>
      </w:r>
      <w:hyperlink r:id="rId11" w:history="1">
        <w:r w:rsidR="00E211E8" w:rsidRPr="00B33BFF">
          <w:rPr>
            <w:rStyle w:val="Hyperlink"/>
            <w:noProof/>
            <w:lang w:val="es-ES"/>
          </w:rPr>
          <w:t>Public Procurement Management Tool (PPMT)</w:t>
        </w:r>
      </w:hyperlink>
      <w:r w:rsidR="00E211E8" w:rsidRPr="00B33BFF">
        <w:rPr>
          <w:rStyle w:val="Hyperlink"/>
          <w:noProof/>
          <w:lang w:val="es-ES"/>
        </w:rPr>
        <w:t xml:space="preserve"> y</w:t>
      </w:r>
      <w:r w:rsidRPr="00E2720F">
        <w:rPr>
          <w:noProof/>
          <w:lang w:val="es-ES"/>
        </w:rPr>
        <w:t xml:space="preserve"> publicarse en </w:t>
      </w:r>
      <w:r w:rsidR="00985435" w:rsidRPr="00D563FC">
        <w:rPr>
          <w:lang w:val="es-ES" w:eastAsia="en-GB"/>
        </w:rPr>
        <w:t xml:space="preserve">el </w:t>
      </w:r>
      <w:r w:rsidR="00985435">
        <w:rPr>
          <w:lang w:val="es-ES" w:eastAsia="en-GB"/>
        </w:rPr>
        <w:t xml:space="preserve">Suplemento at </w:t>
      </w:r>
      <w:r w:rsidR="00985435" w:rsidRPr="006332AE">
        <w:rPr>
          <w:lang w:val="es-ES" w:eastAsia="en-GB"/>
        </w:rPr>
        <w:t>Diario Oficial</w:t>
      </w:r>
      <w:r w:rsidR="00985435" w:rsidRPr="00E211E8">
        <w:rPr>
          <w:lang w:val="es-ES" w:eastAsia="en-GB"/>
        </w:rPr>
        <w:t xml:space="preserve"> </w:t>
      </w:r>
      <w:r w:rsidR="00985435" w:rsidRPr="006332AE">
        <w:rPr>
          <w:lang w:val="es-ES" w:eastAsia="en-GB"/>
        </w:rPr>
        <w:t>de la Unión Europea</w:t>
      </w:r>
      <w:r w:rsidR="00985435" w:rsidRPr="00E2720F" w:rsidDel="00985435">
        <w:rPr>
          <w:noProof/>
          <w:lang w:val="es-ES"/>
        </w:rPr>
        <w:t xml:space="preserve"> </w:t>
      </w:r>
      <w:r w:rsidRPr="00E2720F">
        <w:rPr>
          <w:noProof/>
          <w:lang w:val="es-ES"/>
        </w:rPr>
        <w:t xml:space="preserve"> </w:t>
      </w:r>
      <w:r w:rsidR="00985435">
        <w:rPr>
          <w:noProof/>
          <w:lang w:val="es-ES"/>
        </w:rPr>
        <w:t>(</w:t>
      </w:r>
      <w:r w:rsidR="00985435" w:rsidRPr="00B33BFF">
        <w:rPr>
          <w:noProof/>
          <w:u w:val="single"/>
          <w:lang w:val="es-ES"/>
        </w:rPr>
        <w:t>Tenders Electronic Daily</w:t>
      </w:r>
      <w:r w:rsidR="00985435" w:rsidRPr="00B33BFF" w:rsidDel="0032090D">
        <w:rPr>
          <w:lang w:val="es-ES"/>
        </w:rPr>
        <w:t xml:space="preserve"> </w:t>
      </w:r>
      <w:r w:rsidR="00985435" w:rsidRPr="00B33BFF">
        <w:rPr>
          <w:lang w:val="es-ES"/>
        </w:rPr>
        <w:t xml:space="preserve">) </w:t>
      </w:r>
      <w:r w:rsidRPr="00E2720F">
        <w:rPr>
          <w:noProof/>
          <w:lang w:val="es-ES"/>
        </w:rPr>
        <w:t xml:space="preserve">y en el </w:t>
      </w:r>
      <w:hyperlink r:id="rId12" w:history="1">
        <w:r w:rsidRPr="00E2720F">
          <w:rPr>
            <w:rStyle w:val="Hyperlink"/>
            <w:noProof/>
            <w:lang w:val="es-ES"/>
          </w:rPr>
          <w:t xml:space="preserve">sitio web </w:t>
        </w:r>
        <w:hyperlink r:id="rId13" w:history="1">
          <w:r w:rsidR="00985435" w:rsidRPr="00B33BFF">
            <w:rPr>
              <w:rStyle w:val="Hyperlink"/>
              <w:lang w:val="es-ES"/>
            </w:rPr>
            <w:t xml:space="preserve">Funding &amp; tender opportunities </w:t>
          </w:r>
          <w:r w:rsidR="00985435" w:rsidRPr="00B33BFF">
            <w:rPr>
              <w:rStyle w:val="Hyperlink"/>
              <w:noProof/>
              <w:lang w:val="es-ES"/>
            </w:rPr>
            <w:t>(F&amp;T Portal)</w:t>
          </w:r>
        </w:hyperlink>
      </w:hyperlink>
      <w:r w:rsidRPr="00E2720F">
        <w:rPr>
          <w:noProof/>
          <w:lang w:val="es-ES"/>
        </w:rPr>
        <w:t>.</w:t>
      </w:r>
      <w:r w:rsidRPr="00E2720F">
        <w:rPr>
          <w:lang w:val="es-ES"/>
        </w:rPr>
        <w:t xml:space="preserve"> </w:t>
      </w:r>
    </w:p>
    <w:p w:rsidR="008F724E" w:rsidRPr="00C5407E" w:rsidRDefault="008F724E" w:rsidP="00B33BFF">
      <w:pPr>
        <w:numPr>
          <w:ilvl w:val="0"/>
          <w:numId w:val="20"/>
        </w:numPr>
        <w:tabs>
          <w:tab w:val="clear" w:pos="360"/>
        </w:tabs>
        <w:suppressAutoHyphens w:val="0"/>
        <w:autoSpaceDE w:val="0"/>
        <w:autoSpaceDN w:val="0"/>
        <w:adjustRightInd w:val="0"/>
        <w:spacing w:before="120" w:after="120"/>
        <w:ind w:left="426"/>
        <w:jc w:val="both"/>
        <w:rPr>
          <w:noProof/>
          <w:lang w:val="es-ES"/>
        </w:rPr>
      </w:pPr>
      <w:r w:rsidRPr="00E2720F">
        <w:rPr>
          <w:noProof/>
          <w:lang w:val="es-ES"/>
        </w:rPr>
        <w:lastRenderedPageBreak/>
        <w:t xml:space="preserve">Las licitaciones locales deben publicarse </w:t>
      </w:r>
      <w:r w:rsidR="00364324">
        <w:rPr>
          <w:noProof/>
          <w:lang w:val="es-ES"/>
        </w:rPr>
        <w:t xml:space="preserve">igualmente </w:t>
      </w:r>
      <w:r w:rsidRPr="00E2720F">
        <w:rPr>
          <w:noProof/>
          <w:lang w:val="es-ES"/>
        </w:rPr>
        <w:t>en el Diario Oficial del Estado beneficiario o en cualquier otro medio equivalente</w:t>
      </w:r>
      <w:r w:rsidRPr="00C5407E">
        <w:rPr>
          <w:noProof/>
          <w:lang w:val="es-ES"/>
        </w:rPr>
        <w:t>.</w:t>
      </w:r>
    </w:p>
    <w:p w:rsidR="00C40E02" w:rsidRDefault="000118C1" w:rsidP="00B33BFF">
      <w:pPr>
        <w:suppressAutoHyphens w:val="0"/>
        <w:autoSpaceDE w:val="0"/>
        <w:autoSpaceDN w:val="0"/>
        <w:adjustRightInd w:val="0"/>
        <w:spacing w:before="120" w:after="120"/>
        <w:ind w:left="66"/>
        <w:jc w:val="both"/>
        <w:rPr>
          <w:noProof/>
          <w:lang w:val="es-ES"/>
        </w:rPr>
      </w:pPr>
      <w:r w:rsidRPr="00C5407E">
        <w:rPr>
          <w:noProof/>
          <w:lang w:val="es-ES"/>
        </w:rPr>
        <w:t xml:space="preserve">Modificación de contratos: </w:t>
      </w:r>
      <w:r w:rsidR="004D6BE5">
        <w:rPr>
          <w:noProof/>
          <w:lang w:val="es-ES"/>
        </w:rPr>
        <w:t xml:space="preserve">se requiere </w:t>
      </w:r>
      <w:r w:rsidR="004D6BE5" w:rsidRPr="004D6BE5">
        <w:rPr>
          <w:noProof/>
          <w:lang w:val="es-ES"/>
        </w:rPr>
        <w:t xml:space="preserve">publicar un anuncio de modificación de un contrato en el Diario Oficial de la UE (TED) para cualquier modificación que tenga un valor de 300 000 EUR para los servicios y suministros y </w:t>
      </w:r>
      <w:r w:rsidR="004D6BE5">
        <w:rPr>
          <w:noProof/>
          <w:lang w:val="es-ES"/>
        </w:rPr>
        <w:t>de 5 000 000 EUR para las obras</w:t>
      </w:r>
      <w:r w:rsidRPr="00C5407E">
        <w:rPr>
          <w:noProof/>
          <w:lang w:val="es-ES"/>
        </w:rPr>
        <w:t>.</w:t>
      </w:r>
    </w:p>
    <w:p w:rsidR="004D6BE5" w:rsidRDefault="004D6BE5" w:rsidP="00B33BFF">
      <w:pPr>
        <w:suppressAutoHyphens w:val="0"/>
        <w:autoSpaceDE w:val="0"/>
        <w:autoSpaceDN w:val="0"/>
        <w:adjustRightInd w:val="0"/>
        <w:spacing w:before="120" w:after="120"/>
        <w:ind w:left="426"/>
        <w:jc w:val="both"/>
        <w:rPr>
          <w:noProof/>
          <w:lang w:val="es-ES"/>
        </w:rPr>
      </w:pPr>
    </w:p>
    <w:p w:rsidR="004D6BE5" w:rsidRPr="00C5407E" w:rsidRDefault="004D6BE5" w:rsidP="00B33BFF">
      <w:pPr>
        <w:pBdr>
          <w:top w:val="single" w:sz="4" w:space="1" w:color="000000"/>
          <w:left w:val="single" w:sz="4" w:space="0" w:color="000000"/>
          <w:bottom w:val="single" w:sz="4" w:space="1" w:color="000000"/>
          <w:right w:val="single" w:sz="4" w:space="4" w:color="000000"/>
        </w:pBdr>
        <w:shd w:val="clear" w:color="auto" w:fill="D9D9D9"/>
        <w:autoSpaceDE w:val="0"/>
        <w:jc w:val="both"/>
        <w:rPr>
          <w:lang w:val="es-ES" w:eastAsia="en-GB"/>
        </w:rPr>
      </w:pPr>
      <w:r>
        <w:rPr>
          <w:b/>
          <w:color w:val="000000"/>
          <w:lang w:val="es-ES" w:eastAsia="en-GB"/>
        </w:rPr>
        <w:t>Sistemas afectados</w:t>
      </w:r>
    </w:p>
    <w:p w:rsidR="00027F11" w:rsidRDefault="00027F11">
      <w:pPr>
        <w:autoSpaceDE w:val="0"/>
        <w:spacing w:before="240" w:after="120"/>
        <w:ind w:left="68"/>
        <w:jc w:val="both"/>
        <w:rPr>
          <w:lang w:val="es-ES" w:eastAsia="en-GB"/>
        </w:rPr>
      </w:pPr>
      <w:r w:rsidRPr="00B33BFF">
        <w:rPr>
          <w:lang w:val="es-ES" w:eastAsia="en-GB"/>
        </w:rPr>
        <w:t>El instrumento central para la preparación y publicación de convocatorias de licitació</w:t>
      </w:r>
      <w:r w:rsidRPr="00027F11">
        <w:rPr>
          <w:lang w:val="es-ES" w:eastAsia="en-GB"/>
        </w:rPr>
        <w:t>n es</w:t>
      </w:r>
      <w:r w:rsidRPr="00B33BFF">
        <w:rPr>
          <w:lang w:val="es-ES" w:eastAsia="en-GB"/>
        </w:rPr>
        <w:t xml:space="preserve"> </w:t>
      </w:r>
      <w:r w:rsidRPr="00027F11">
        <w:rPr>
          <w:b/>
          <w:lang w:val="es-ES" w:eastAsia="en-GB"/>
        </w:rPr>
        <w:t>PPMT</w:t>
      </w:r>
      <w:r w:rsidRPr="00B33BFF">
        <w:rPr>
          <w:lang w:val="es-ES" w:eastAsia="en-GB"/>
        </w:rPr>
        <w:t xml:space="preserve">, mientras que las fases específicas se llevarán a cabo en TED (respectivamente TED-eNotices y TED-eTendering) y </w:t>
      </w:r>
      <w:r w:rsidRPr="00027F11">
        <w:rPr>
          <w:b/>
          <w:lang w:val="es-ES" w:eastAsia="en-GB"/>
        </w:rPr>
        <w:t>ARES</w:t>
      </w:r>
      <w:r w:rsidRPr="00B33BFF">
        <w:rPr>
          <w:lang w:val="es-ES" w:eastAsia="en-GB"/>
        </w:rPr>
        <w:t>.</w:t>
      </w:r>
    </w:p>
    <w:p w:rsidR="00027F11" w:rsidRDefault="00027F11">
      <w:pPr>
        <w:autoSpaceDE w:val="0"/>
        <w:spacing w:before="240" w:after="120"/>
        <w:ind w:left="68"/>
        <w:jc w:val="both"/>
        <w:rPr>
          <w:lang w:val="es-ES" w:eastAsia="en-GB"/>
        </w:rPr>
      </w:pPr>
      <w:r w:rsidRPr="00027F11">
        <w:rPr>
          <w:lang w:val="es-ES" w:eastAsia="en-GB"/>
        </w:rPr>
        <w:t xml:space="preserve">PPMT es la herramienta de gestión de la contratación pública que permite las fases previas a la adjudicación de licitaciones. Se utilizará para la preparación de la licitación y como punto central de coordinación de la publicación.  </w:t>
      </w:r>
    </w:p>
    <w:p w:rsidR="00027F11" w:rsidRDefault="00027F11">
      <w:pPr>
        <w:autoSpaceDE w:val="0"/>
        <w:spacing w:before="240" w:after="120"/>
        <w:ind w:left="68"/>
        <w:jc w:val="both"/>
        <w:rPr>
          <w:lang w:val="es-ES" w:eastAsia="en-GB"/>
        </w:rPr>
      </w:pPr>
      <w:r w:rsidRPr="00B33BFF">
        <w:rPr>
          <w:b/>
          <w:lang w:val="es-ES" w:eastAsia="en-GB"/>
        </w:rPr>
        <w:t>TED</w:t>
      </w:r>
      <w:r w:rsidR="00E67F8F">
        <w:rPr>
          <w:b/>
          <w:lang w:val="es-ES" w:eastAsia="en-GB"/>
        </w:rPr>
        <w:t xml:space="preserve"> </w:t>
      </w:r>
      <w:r w:rsidRPr="00B33BFF">
        <w:rPr>
          <w:b/>
          <w:lang w:val="es-ES" w:eastAsia="en-GB"/>
        </w:rPr>
        <w:t>eNotices</w:t>
      </w:r>
      <w:r w:rsidRPr="00027F11">
        <w:rPr>
          <w:lang w:val="es-ES" w:eastAsia="en-GB"/>
        </w:rPr>
        <w:t xml:space="preserve"> se utiliza para activar, la publicación </w:t>
      </w:r>
      <w:r w:rsidR="00364324">
        <w:rPr>
          <w:lang w:val="es-ES" w:eastAsia="en-GB"/>
        </w:rPr>
        <w:t xml:space="preserve">de </w:t>
      </w:r>
      <w:r w:rsidR="00E67F8F">
        <w:rPr>
          <w:lang w:val="es-ES" w:eastAsia="en-GB"/>
        </w:rPr>
        <w:t>los siguientes anuncios: Anuncio de información previa (PIN),  A</w:t>
      </w:r>
      <w:r w:rsidR="00364324">
        <w:rPr>
          <w:lang w:val="es-ES" w:eastAsia="en-GB"/>
        </w:rPr>
        <w:t xml:space="preserve">nuncio de contrato </w:t>
      </w:r>
      <w:r w:rsidR="00E67F8F">
        <w:rPr>
          <w:lang w:val="es-ES" w:eastAsia="en-GB"/>
        </w:rPr>
        <w:t>(CN)</w:t>
      </w:r>
      <w:r w:rsidRPr="00027F11">
        <w:rPr>
          <w:lang w:val="es-ES" w:eastAsia="en-GB"/>
        </w:rPr>
        <w:t xml:space="preserve"> y </w:t>
      </w:r>
      <w:r w:rsidR="00E67F8F">
        <w:rPr>
          <w:lang w:val="es-ES" w:eastAsia="en-GB"/>
        </w:rPr>
        <w:t xml:space="preserve">Anuncio de atribución (CAN). </w:t>
      </w:r>
      <w:r w:rsidR="00E67F8F" w:rsidRPr="005D0319">
        <w:rPr>
          <w:b/>
          <w:lang w:val="es-ES" w:eastAsia="en-GB"/>
        </w:rPr>
        <w:t>TED eTendering</w:t>
      </w:r>
      <w:r w:rsidR="00E67F8F">
        <w:rPr>
          <w:lang w:val="es-ES" w:eastAsia="en-GB"/>
        </w:rPr>
        <w:t xml:space="preserve"> se utiliza para activar la publicación </w:t>
      </w:r>
      <w:r w:rsidRPr="00027F11">
        <w:rPr>
          <w:lang w:val="es-ES" w:eastAsia="en-GB"/>
        </w:rPr>
        <w:t>de</w:t>
      </w:r>
      <w:r w:rsidR="00D815F7">
        <w:rPr>
          <w:lang w:val="es-ES" w:eastAsia="en-GB"/>
        </w:rPr>
        <w:t>l</w:t>
      </w:r>
      <w:r w:rsidR="00E67F8F">
        <w:rPr>
          <w:lang w:val="es-ES" w:eastAsia="en-GB"/>
        </w:rPr>
        <w:t xml:space="preserve"> </w:t>
      </w:r>
      <w:r w:rsidRPr="00027F11">
        <w:rPr>
          <w:lang w:val="es-ES" w:eastAsia="en-GB"/>
        </w:rPr>
        <w:t>expediente de licitación</w:t>
      </w:r>
      <w:r>
        <w:rPr>
          <w:lang w:val="es-ES" w:eastAsia="en-GB"/>
        </w:rPr>
        <w:t>.</w:t>
      </w:r>
    </w:p>
    <w:p w:rsidR="007C0F34" w:rsidRPr="007C0F34" w:rsidRDefault="00577A9F">
      <w:pPr>
        <w:autoSpaceDE w:val="0"/>
        <w:spacing w:before="240" w:after="120"/>
        <w:ind w:left="68"/>
        <w:jc w:val="both"/>
        <w:rPr>
          <w:lang w:val="es-ES" w:eastAsia="en-GB"/>
        </w:rPr>
      </w:pPr>
      <w:r>
        <w:rPr>
          <w:lang w:val="es-ES" w:eastAsia="en-GB"/>
        </w:rPr>
        <w:t>L</w:t>
      </w:r>
      <w:r w:rsidR="007C0F34" w:rsidRPr="007C0F34">
        <w:rPr>
          <w:lang w:val="es-ES" w:eastAsia="en-GB"/>
        </w:rPr>
        <w:t>os operadores económicos (candidatos o licitadores), encontrar</w:t>
      </w:r>
      <w:r w:rsidR="00D815F7">
        <w:rPr>
          <w:lang w:val="es-ES" w:eastAsia="en-GB"/>
        </w:rPr>
        <w:t>an</w:t>
      </w:r>
      <w:r w:rsidR="007C0F34" w:rsidRPr="007C0F34">
        <w:rPr>
          <w:lang w:val="es-ES" w:eastAsia="en-GB"/>
        </w:rPr>
        <w:t xml:space="preserve"> los anunc</w:t>
      </w:r>
      <w:r w:rsidR="00364324">
        <w:rPr>
          <w:lang w:val="es-ES" w:eastAsia="en-GB"/>
        </w:rPr>
        <w:t>ios de información previa (PIN)</w:t>
      </w:r>
      <w:r w:rsidR="00D815F7">
        <w:rPr>
          <w:lang w:val="es-ES" w:eastAsia="en-GB"/>
        </w:rPr>
        <w:t xml:space="preserve"> en</w:t>
      </w:r>
      <w:r w:rsidR="00060238">
        <w:rPr>
          <w:lang w:val="es-ES" w:eastAsia="en-GB"/>
        </w:rPr>
        <w:t xml:space="preserve"> TED</w:t>
      </w:r>
      <w:r w:rsidR="00364324">
        <w:rPr>
          <w:lang w:val="es-ES" w:eastAsia="en-GB"/>
        </w:rPr>
        <w:t>,</w:t>
      </w:r>
      <w:r w:rsidR="00060238">
        <w:rPr>
          <w:lang w:val="es-ES" w:eastAsia="en-GB"/>
        </w:rPr>
        <w:t xml:space="preserve"> seleccionando </w:t>
      </w:r>
      <w:r w:rsidR="0064698E" w:rsidRPr="005D0319">
        <w:rPr>
          <w:noProof/>
          <w:lang w:val="es-ES"/>
        </w:rPr>
        <w:t>“</w:t>
      </w:r>
      <w:r w:rsidR="00455B90">
        <w:rPr>
          <w:noProof/>
          <w:lang w:val="es-ES"/>
        </w:rPr>
        <w:t>Programas de ayuda externa</w:t>
      </w:r>
      <w:r w:rsidR="0064698E" w:rsidRPr="005D0319">
        <w:rPr>
          <w:noProof/>
          <w:lang w:val="es-ES"/>
        </w:rPr>
        <w:t>”</w:t>
      </w:r>
      <w:r w:rsidR="00060238">
        <w:rPr>
          <w:lang w:val="es-ES" w:eastAsia="en-GB"/>
        </w:rPr>
        <w:t xml:space="preserve"> en el campo </w:t>
      </w:r>
      <w:r w:rsidR="0064698E" w:rsidRPr="005D0319">
        <w:rPr>
          <w:noProof/>
          <w:lang w:val="es-ES"/>
        </w:rPr>
        <w:t>“</w:t>
      </w:r>
      <w:r w:rsidR="00D815F7">
        <w:rPr>
          <w:lang w:val="es-ES" w:eastAsia="en-GB"/>
        </w:rPr>
        <w:t>tipo de comprador</w:t>
      </w:r>
      <w:r w:rsidR="0064698E" w:rsidRPr="005D0319">
        <w:rPr>
          <w:noProof/>
          <w:lang w:val="es-ES"/>
        </w:rPr>
        <w:t>”</w:t>
      </w:r>
      <w:r w:rsidR="00060238">
        <w:rPr>
          <w:lang w:val="es-ES" w:eastAsia="en-GB"/>
        </w:rPr>
        <w:t xml:space="preserve">. </w:t>
      </w:r>
      <w:r w:rsidR="00364324">
        <w:rPr>
          <w:lang w:val="es-ES" w:eastAsia="en-GB"/>
        </w:rPr>
        <w:t xml:space="preserve"> </w:t>
      </w:r>
      <w:r w:rsidR="00060238">
        <w:rPr>
          <w:lang w:val="es-ES" w:eastAsia="en-GB"/>
        </w:rPr>
        <w:t>L</w:t>
      </w:r>
      <w:r w:rsidR="007C0F34" w:rsidRPr="007C0F34">
        <w:rPr>
          <w:lang w:val="es-ES" w:eastAsia="en-GB"/>
        </w:rPr>
        <w:t xml:space="preserve">os anuncios de </w:t>
      </w:r>
      <w:r w:rsidR="00364324">
        <w:rPr>
          <w:lang w:val="es-ES" w:eastAsia="en-GB"/>
        </w:rPr>
        <w:t xml:space="preserve">contrato </w:t>
      </w:r>
      <w:r w:rsidR="007C0F34" w:rsidRPr="007C0F34">
        <w:rPr>
          <w:lang w:val="es-ES" w:eastAsia="en-GB"/>
        </w:rPr>
        <w:t>(CN) y los expedientes de licitació</w:t>
      </w:r>
      <w:r w:rsidR="00A5064F">
        <w:rPr>
          <w:lang w:val="es-ES" w:eastAsia="en-GB"/>
        </w:rPr>
        <w:t>n correspondientes</w:t>
      </w:r>
      <w:r w:rsidR="00364324">
        <w:rPr>
          <w:lang w:val="es-ES" w:eastAsia="en-GB"/>
        </w:rPr>
        <w:t xml:space="preserve"> </w:t>
      </w:r>
      <w:r w:rsidR="00060238">
        <w:rPr>
          <w:lang w:val="es-ES" w:eastAsia="en-GB"/>
        </w:rPr>
        <w:t xml:space="preserve">lo encontrara en </w:t>
      </w:r>
      <w:r w:rsidR="007C0F34">
        <w:rPr>
          <w:lang w:val="es-ES" w:eastAsia="en-GB"/>
        </w:rPr>
        <w:t>el portal F&amp;</w:t>
      </w:r>
      <w:r w:rsidR="007C0F34" w:rsidRPr="007C0F34">
        <w:rPr>
          <w:lang w:val="es-ES" w:eastAsia="en-GB"/>
        </w:rPr>
        <w:t>T</w:t>
      </w:r>
      <w:r w:rsidR="00060238">
        <w:rPr>
          <w:lang w:val="es-ES" w:eastAsia="en-GB"/>
        </w:rPr>
        <w:t xml:space="preserve">, seleccionando </w:t>
      </w:r>
      <w:r w:rsidR="0064698E" w:rsidRPr="005D0319">
        <w:rPr>
          <w:noProof/>
          <w:lang w:val="es-ES"/>
        </w:rPr>
        <w:t>“</w:t>
      </w:r>
      <w:r w:rsidR="00060238" w:rsidRPr="005D0319">
        <w:rPr>
          <w:noProof/>
          <w:lang w:val="es-ES"/>
        </w:rPr>
        <w:t>EU External Action</w:t>
      </w:r>
      <w:r w:rsidR="0064698E" w:rsidRPr="005D0319">
        <w:rPr>
          <w:noProof/>
          <w:lang w:val="es-ES"/>
        </w:rPr>
        <w:t>”</w:t>
      </w:r>
      <w:r w:rsidR="00060238" w:rsidRPr="00455B90">
        <w:rPr>
          <w:noProof/>
          <w:lang w:val="es-ES"/>
        </w:rPr>
        <w:t xml:space="preserve"> como filtro para </w:t>
      </w:r>
      <w:r w:rsidR="00060238" w:rsidRPr="00BD5DDE">
        <w:rPr>
          <w:noProof/>
          <w:lang w:val="es-ES"/>
        </w:rPr>
        <w:t xml:space="preserve">el </w:t>
      </w:r>
      <w:r w:rsidRPr="00141280">
        <w:rPr>
          <w:noProof/>
          <w:lang w:val="es-ES"/>
        </w:rPr>
        <w:t>“</w:t>
      </w:r>
      <w:r w:rsidR="00455B90" w:rsidRPr="005D0319">
        <w:rPr>
          <w:noProof/>
          <w:lang w:val="es-ES"/>
        </w:rPr>
        <w:t>Programme/Programme Group</w:t>
      </w:r>
      <w:r w:rsidRPr="00141280">
        <w:rPr>
          <w:noProof/>
          <w:lang w:val="es-ES"/>
        </w:rPr>
        <w:t>”</w:t>
      </w:r>
      <w:r w:rsidR="00060238" w:rsidRPr="005D0319">
        <w:rPr>
          <w:noProof/>
          <w:lang w:val="es-ES"/>
        </w:rPr>
        <w:t>.</w:t>
      </w:r>
    </w:p>
    <w:p w:rsidR="007C0F34" w:rsidRDefault="00A5064F">
      <w:pPr>
        <w:autoSpaceDE w:val="0"/>
        <w:spacing w:before="240" w:after="120"/>
        <w:ind w:left="68"/>
        <w:jc w:val="both"/>
        <w:rPr>
          <w:lang w:val="es-ES" w:eastAsia="en-GB"/>
        </w:rPr>
      </w:pPr>
      <w:r>
        <w:rPr>
          <w:lang w:val="es-ES" w:eastAsia="en-GB"/>
        </w:rPr>
        <w:t>A</w:t>
      </w:r>
      <w:r w:rsidR="00060238">
        <w:rPr>
          <w:lang w:val="es-ES" w:eastAsia="en-GB"/>
        </w:rPr>
        <w:t>RES</w:t>
      </w:r>
      <w:r>
        <w:rPr>
          <w:lang w:val="es-ES" w:eastAsia="en-GB"/>
        </w:rPr>
        <w:t xml:space="preserve"> (activado por PPMT y sincronizado</w:t>
      </w:r>
      <w:r w:rsidR="007C0F34" w:rsidRPr="007C0F34">
        <w:rPr>
          <w:lang w:val="es-ES" w:eastAsia="en-GB"/>
        </w:rPr>
        <w:t xml:space="preserve"> con</w:t>
      </w:r>
      <w:r>
        <w:rPr>
          <w:lang w:val="es-ES" w:eastAsia="en-GB"/>
        </w:rPr>
        <w:t xml:space="preserve"> este</w:t>
      </w:r>
      <w:r w:rsidR="007C0F34" w:rsidRPr="007C0F34">
        <w:rPr>
          <w:lang w:val="es-ES" w:eastAsia="en-GB"/>
        </w:rPr>
        <w:t>) sigue siendo el sistema e</w:t>
      </w:r>
      <w:r>
        <w:rPr>
          <w:lang w:val="es-ES" w:eastAsia="en-GB"/>
        </w:rPr>
        <w:t xml:space="preserve">n el que se produce el flujo </w:t>
      </w:r>
      <w:r w:rsidR="007C0F34" w:rsidRPr="007C0F34">
        <w:rPr>
          <w:lang w:val="es-ES" w:eastAsia="en-GB"/>
        </w:rPr>
        <w:t>de validación.</w:t>
      </w:r>
    </w:p>
    <w:p w:rsidR="00A5064F" w:rsidRPr="00B33BFF" w:rsidRDefault="00A5064F">
      <w:pPr>
        <w:autoSpaceDE w:val="0"/>
        <w:spacing w:before="240" w:after="120"/>
        <w:ind w:left="68"/>
        <w:jc w:val="both"/>
        <w:rPr>
          <w:u w:val="single"/>
          <w:lang w:val="es-ES" w:eastAsia="en-GB"/>
        </w:rPr>
      </w:pPr>
      <w:r w:rsidRPr="00B33BFF">
        <w:rPr>
          <w:u w:val="single"/>
          <w:lang w:val="es-ES" w:eastAsia="en-GB"/>
        </w:rPr>
        <w:t>Los siguientes documentos son codificados en PPMT y se envían para su publicación a través de eNotices en TED (Tenders Electronic D</w:t>
      </w:r>
      <w:r w:rsidRPr="00A5064F">
        <w:rPr>
          <w:u w:val="single"/>
          <w:lang w:val="es-ES" w:eastAsia="en-GB"/>
        </w:rPr>
        <w:t xml:space="preserve">aily), la versión en línea del </w:t>
      </w:r>
      <w:r>
        <w:rPr>
          <w:u w:val="single"/>
          <w:lang w:val="es-ES" w:eastAsia="en-GB"/>
        </w:rPr>
        <w:t>‘‘</w:t>
      </w:r>
      <w:r w:rsidRPr="00A5064F">
        <w:rPr>
          <w:u w:val="single"/>
          <w:lang w:val="es-ES" w:eastAsia="en-GB"/>
        </w:rPr>
        <w:t>Suplemento del Diario Oficial</w:t>
      </w:r>
      <w:r w:rsidRPr="00B33BFF">
        <w:rPr>
          <w:u w:val="single"/>
          <w:lang w:val="es-ES" w:eastAsia="en-GB"/>
        </w:rPr>
        <w:t xml:space="preserve"> de la UE</w:t>
      </w:r>
      <w:r>
        <w:rPr>
          <w:u w:val="single"/>
          <w:lang w:val="es-ES" w:eastAsia="en-GB"/>
        </w:rPr>
        <w:t>’</w:t>
      </w:r>
      <w:r w:rsidR="007309BD">
        <w:rPr>
          <w:u w:val="single"/>
          <w:lang w:val="es-ES" w:eastAsia="en-GB"/>
        </w:rPr>
        <w:t>’</w:t>
      </w:r>
      <w:r w:rsidRPr="00B33BFF">
        <w:rPr>
          <w:u w:val="single"/>
          <w:lang w:val="es-ES" w:eastAsia="en-GB"/>
        </w:rPr>
        <w:t xml:space="preserve">, y automáticamente sobre </w:t>
      </w:r>
      <w:r w:rsidR="007309BD">
        <w:rPr>
          <w:u w:val="single"/>
          <w:lang w:val="es-ES" w:eastAsia="en-GB"/>
        </w:rPr>
        <w:t>‘‘</w:t>
      </w:r>
      <w:r w:rsidR="007309BD" w:rsidRPr="00B33BFF">
        <w:rPr>
          <w:noProof/>
          <w:u w:val="single"/>
          <w:lang w:val="es-ES"/>
        </w:rPr>
        <w:t xml:space="preserve">Funding &amp; </w:t>
      </w:r>
      <w:r w:rsidR="0064698E">
        <w:rPr>
          <w:noProof/>
          <w:u w:val="single"/>
          <w:lang w:val="es-ES"/>
        </w:rPr>
        <w:t>T</w:t>
      </w:r>
      <w:r w:rsidR="007309BD" w:rsidRPr="00B33BFF">
        <w:rPr>
          <w:noProof/>
          <w:u w:val="single"/>
          <w:lang w:val="es-ES"/>
        </w:rPr>
        <w:t>ender opportunities</w:t>
      </w:r>
      <w:r w:rsidR="007309BD">
        <w:rPr>
          <w:noProof/>
          <w:u w:val="single"/>
          <w:lang w:val="es-ES"/>
        </w:rPr>
        <w:t xml:space="preserve"> </w:t>
      </w:r>
      <w:r w:rsidRPr="00B33BFF">
        <w:rPr>
          <w:u w:val="single"/>
          <w:lang w:val="es-ES" w:eastAsia="en-GB"/>
        </w:rPr>
        <w:t xml:space="preserve">(Portal </w:t>
      </w:r>
      <w:r w:rsidR="007309BD" w:rsidRPr="007309BD">
        <w:rPr>
          <w:u w:val="single"/>
          <w:lang w:val="es-ES" w:eastAsia="en-GB"/>
        </w:rPr>
        <w:t>F&amp;</w:t>
      </w:r>
      <w:r w:rsidRPr="00B33BFF">
        <w:rPr>
          <w:u w:val="single"/>
          <w:lang w:val="es-ES" w:eastAsia="en-GB"/>
        </w:rPr>
        <w:t>T)</w:t>
      </w:r>
      <w:r w:rsidR="007309BD">
        <w:rPr>
          <w:noProof/>
          <w:u w:val="single"/>
          <w:lang w:val="es-ES"/>
        </w:rPr>
        <w:t>’’</w:t>
      </w:r>
      <w:r w:rsidRPr="00B33BFF">
        <w:rPr>
          <w:u w:val="single"/>
          <w:lang w:val="es-ES" w:eastAsia="en-GB"/>
        </w:rPr>
        <w:t xml:space="preserve"> mediante PPMT:</w:t>
      </w:r>
    </w:p>
    <w:p w:rsidR="00A5064F" w:rsidRDefault="00A5064F" w:rsidP="00B33BFF">
      <w:pPr>
        <w:numPr>
          <w:ilvl w:val="0"/>
          <w:numId w:val="28"/>
        </w:numPr>
        <w:autoSpaceDE w:val="0"/>
        <w:spacing w:before="120" w:after="120"/>
        <w:jc w:val="both"/>
        <w:rPr>
          <w:lang w:val="es-ES" w:eastAsia="en-GB"/>
        </w:rPr>
      </w:pPr>
      <w:r w:rsidRPr="00A5064F">
        <w:rPr>
          <w:lang w:val="es-ES" w:eastAsia="en-GB"/>
        </w:rPr>
        <w:t>Anuncio de información previa (no obligatorio)</w:t>
      </w:r>
    </w:p>
    <w:p w:rsidR="00A5064F" w:rsidRDefault="00A5064F" w:rsidP="00B33BFF">
      <w:pPr>
        <w:numPr>
          <w:ilvl w:val="0"/>
          <w:numId w:val="28"/>
        </w:numPr>
        <w:autoSpaceDE w:val="0"/>
        <w:spacing w:before="120" w:after="120"/>
        <w:jc w:val="both"/>
        <w:rPr>
          <w:lang w:val="es-ES" w:eastAsia="en-GB"/>
        </w:rPr>
      </w:pPr>
      <w:r w:rsidRPr="00A5064F">
        <w:rPr>
          <w:lang w:val="es-ES" w:eastAsia="en-GB"/>
        </w:rPr>
        <w:t>Anuncio de contrato</w:t>
      </w:r>
    </w:p>
    <w:p w:rsidR="00A5064F" w:rsidRPr="00B33BFF" w:rsidRDefault="00A5064F" w:rsidP="00B33BFF">
      <w:pPr>
        <w:autoSpaceDE w:val="0"/>
        <w:spacing w:before="240" w:after="120"/>
        <w:ind w:left="68"/>
        <w:jc w:val="both"/>
        <w:rPr>
          <w:u w:val="single"/>
          <w:lang w:val="es-ES" w:eastAsia="en-GB"/>
        </w:rPr>
      </w:pPr>
      <w:r w:rsidRPr="00B33BFF">
        <w:rPr>
          <w:u w:val="single"/>
          <w:lang w:val="es-ES" w:eastAsia="en-GB"/>
        </w:rPr>
        <w:t xml:space="preserve">Los siguientes documentos se codifican directamente en eNotices (no en PPMT) y se </w:t>
      </w:r>
      <w:r w:rsidR="007309BD" w:rsidRPr="00B33BFF">
        <w:rPr>
          <w:u w:val="single"/>
          <w:lang w:val="es-ES" w:eastAsia="en-GB"/>
        </w:rPr>
        <w:t>envían</w:t>
      </w:r>
      <w:r w:rsidRPr="00B33BFF">
        <w:rPr>
          <w:u w:val="single"/>
          <w:lang w:val="es-ES" w:eastAsia="en-GB"/>
        </w:rPr>
        <w:t xml:space="preserve"> para su publicación:</w:t>
      </w:r>
    </w:p>
    <w:p w:rsidR="00A5064F" w:rsidRPr="00A5064F" w:rsidRDefault="00364324" w:rsidP="00B33BFF">
      <w:pPr>
        <w:numPr>
          <w:ilvl w:val="0"/>
          <w:numId w:val="29"/>
        </w:numPr>
        <w:autoSpaceDE w:val="0"/>
        <w:spacing w:before="120" w:after="120"/>
        <w:jc w:val="both"/>
        <w:rPr>
          <w:lang w:val="es-ES" w:eastAsia="en-GB"/>
        </w:rPr>
      </w:pPr>
      <w:r w:rsidRPr="00A5064F">
        <w:rPr>
          <w:lang w:val="es-ES" w:eastAsia="en-GB"/>
        </w:rPr>
        <w:t>Corr</w:t>
      </w:r>
      <w:r>
        <w:rPr>
          <w:lang w:val="es-ES" w:eastAsia="en-GB"/>
        </w:rPr>
        <w:t>ección de errores</w:t>
      </w:r>
      <w:r w:rsidR="00A5064F" w:rsidRPr="00A5064F">
        <w:rPr>
          <w:lang w:val="es-ES" w:eastAsia="en-GB"/>
        </w:rPr>
        <w:t xml:space="preserve"> del anuncio de contrato</w:t>
      </w:r>
    </w:p>
    <w:p w:rsidR="00A5064F" w:rsidRPr="00A5064F" w:rsidRDefault="00A5064F" w:rsidP="00B33BFF">
      <w:pPr>
        <w:numPr>
          <w:ilvl w:val="0"/>
          <w:numId w:val="29"/>
        </w:numPr>
        <w:autoSpaceDE w:val="0"/>
        <w:spacing w:before="120" w:after="120"/>
        <w:jc w:val="both"/>
        <w:rPr>
          <w:lang w:val="es-ES" w:eastAsia="en-GB"/>
        </w:rPr>
      </w:pPr>
      <w:r w:rsidRPr="00A5064F">
        <w:rPr>
          <w:lang w:val="es-ES" w:eastAsia="en-GB"/>
        </w:rPr>
        <w:t xml:space="preserve">Anuncio de modificación de contrato </w:t>
      </w:r>
    </w:p>
    <w:p w:rsidR="00A5064F" w:rsidRDefault="00A5064F" w:rsidP="00B33BFF">
      <w:pPr>
        <w:numPr>
          <w:ilvl w:val="0"/>
          <w:numId w:val="29"/>
        </w:numPr>
        <w:autoSpaceDE w:val="0"/>
        <w:spacing w:before="120" w:after="120"/>
        <w:jc w:val="both"/>
        <w:rPr>
          <w:lang w:val="es-ES" w:eastAsia="en-GB"/>
        </w:rPr>
      </w:pPr>
      <w:r w:rsidRPr="00A5064F">
        <w:rPr>
          <w:lang w:val="es-ES" w:eastAsia="en-GB"/>
        </w:rPr>
        <w:t>Anuncio de adjudicación</w:t>
      </w:r>
    </w:p>
    <w:p w:rsidR="007309BD" w:rsidRPr="00B33BFF" w:rsidRDefault="007309BD">
      <w:pPr>
        <w:autoSpaceDE w:val="0"/>
        <w:spacing w:before="120" w:after="120"/>
        <w:jc w:val="both"/>
        <w:rPr>
          <w:u w:val="single"/>
          <w:lang w:val="es-ES" w:eastAsia="en-GB"/>
        </w:rPr>
      </w:pPr>
      <w:r w:rsidRPr="00B33BFF">
        <w:rPr>
          <w:u w:val="single"/>
          <w:lang w:val="es-ES" w:eastAsia="en-GB"/>
        </w:rPr>
        <w:t xml:space="preserve">Los siguientes documentos también deben publicarse en </w:t>
      </w:r>
      <w:r w:rsidR="0064698E">
        <w:rPr>
          <w:u w:val="single"/>
          <w:lang w:val="es-ES" w:eastAsia="en-GB"/>
        </w:rPr>
        <w:t xml:space="preserve">TED </w:t>
      </w:r>
      <w:r w:rsidRPr="00B33BFF">
        <w:rPr>
          <w:u w:val="single"/>
          <w:lang w:val="es-ES" w:eastAsia="en-GB"/>
        </w:rPr>
        <w:t xml:space="preserve">eTendering a través del PPMT: </w:t>
      </w:r>
    </w:p>
    <w:p w:rsidR="007309BD" w:rsidRPr="00B33BFF" w:rsidRDefault="007309BD">
      <w:pPr>
        <w:autoSpaceDE w:val="0"/>
        <w:spacing w:before="120" w:after="120"/>
        <w:jc w:val="both"/>
        <w:rPr>
          <w:lang w:val="es-ES" w:eastAsia="en-GB"/>
        </w:rPr>
      </w:pPr>
      <w:r w:rsidRPr="00B33BFF">
        <w:rPr>
          <w:b/>
          <w:lang w:val="es-ES" w:eastAsia="en-GB"/>
        </w:rPr>
        <w:t>Procedimientos restringidos</w:t>
      </w:r>
      <w:r w:rsidRPr="00B33BFF">
        <w:rPr>
          <w:lang w:val="es-ES" w:eastAsia="en-GB"/>
        </w:rPr>
        <w:t xml:space="preserve"> (1ª fase): </w:t>
      </w:r>
    </w:p>
    <w:p w:rsidR="007309BD" w:rsidRPr="00B33BFF" w:rsidRDefault="007309BD" w:rsidP="00B33BFF">
      <w:pPr>
        <w:autoSpaceDE w:val="0"/>
        <w:spacing w:before="120" w:after="120"/>
        <w:ind w:left="709" w:hanging="294"/>
        <w:jc w:val="both"/>
        <w:rPr>
          <w:lang w:val="es-ES" w:eastAsia="en-GB"/>
        </w:rPr>
      </w:pPr>
      <w:r w:rsidRPr="00B33BFF">
        <w:rPr>
          <w:lang w:val="es-ES" w:eastAsia="en-GB"/>
        </w:rPr>
        <w:t xml:space="preserve">o </w:t>
      </w:r>
      <w:r>
        <w:rPr>
          <w:lang w:val="es-ES" w:eastAsia="en-GB"/>
        </w:rPr>
        <w:tab/>
      </w:r>
      <w:r w:rsidRPr="005D123B">
        <w:rPr>
          <w:lang w:val="es-ES" w:eastAsia="en-GB"/>
        </w:rPr>
        <w:t>Información adicional sobre e</w:t>
      </w:r>
      <w:r w:rsidRPr="00B33BFF">
        <w:rPr>
          <w:lang w:val="es-ES" w:eastAsia="en-GB"/>
        </w:rPr>
        <w:t>l anuncio de contrato (obligatorio con la publicación del anuncio de contrato)</w:t>
      </w:r>
    </w:p>
    <w:p w:rsidR="007309BD" w:rsidRPr="00B33BFF" w:rsidRDefault="007309BD" w:rsidP="00B33BFF">
      <w:pPr>
        <w:autoSpaceDE w:val="0"/>
        <w:spacing w:before="120" w:after="120"/>
        <w:ind w:left="709" w:hanging="294"/>
        <w:jc w:val="both"/>
        <w:rPr>
          <w:lang w:val="es-ES" w:eastAsia="en-GB"/>
        </w:rPr>
      </w:pPr>
      <w:r w:rsidRPr="00B33BFF">
        <w:rPr>
          <w:lang w:val="es-ES" w:eastAsia="en-GB"/>
        </w:rPr>
        <w:t xml:space="preserve">o </w:t>
      </w:r>
      <w:r>
        <w:rPr>
          <w:lang w:val="es-ES" w:eastAsia="en-GB"/>
        </w:rPr>
        <w:tab/>
      </w:r>
      <w:r w:rsidRPr="00B33BFF">
        <w:rPr>
          <w:lang w:val="es-ES" w:eastAsia="en-GB"/>
        </w:rPr>
        <w:t>Aclaraciones (si procede)</w:t>
      </w:r>
    </w:p>
    <w:p w:rsidR="007309BD" w:rsidRPr="00B33BFF" w:rsidRDefault="007309BD" w:rsidP="0059767C">
      <w:pPr>
        <w:autoSpaceDE w:val="0"/>
        <w:spacing w:before="120" w:after="120"/>
        <w:ind w:left="709" w:hanging="294"/>
        <w:jc w:val="both"/>
        <w:rPr>
          <w:lang w:val="es-ES" w:eastAsia="en-GB"/>
        </w:rPr>
      </w:pPr>
      <w:r w:rsidRPr="00B33BFF">
        <w:rPr>
          <w:lang w:val="es-ES" w:eastAsia="en-GB"/>
        </w:rPr>
        <w:t xml:space="preserve">o </w:t>
      </w:r>
      <w:r>
        <w:rPr>
          <w:lang w:val="es-ES" w:eastAsia="en-GB"/>
        </w:rPr>
        <w:tab/>
      </w:r>
      <w:r w:rsidRPr="00B33BFF">
        <w:rPr>
          <w:lang w:val="es-ES" w:eastAsia="en-GB"/>
        </w:rPr>
        <w:t>Correcciones de errores adicionales en la información adicional sobre el anuncio de contrato (si procede)</w:t>
      </w:r>
    </w:p>
    <w:p w:rsidR="0064698E" w:rsidRDefault="0064698E" w:rsidP="0064698E">
      <w:pPr>
        <w:autoSpaceDE w:val="0"/>
        <w:spacing w:before="120" w:after="120"/>
        <w:jc w:val="both"/>
        <w:rPr>
          <w:lang w:val="es-ES" w:eastAsia="en-GB"/>
        </w:rPr>
      </w:pPr>
      <w:r w:rsidRPr="00B33BFF">
        <w:rPr>
          <w:b/>
          <w:lang w:val="es-ES" w:eastAsia="en-GB"/>
        </w:rPr>
        <w:t>Procedimientos restringidos</w:t>
      </w:r>
      <w:r>
        <w:rPr>
          <w:lang w:val="es-ES" w:eastAsia="en-GB"/>
        </w:rPr>
        <w:t xml:space="preserve"> (2</w:t>
      </w:r>
      <w:r w:rsidRPr="00B33BFF">
        <w:rPr>
          <w:lang w:val="es-ES" w:eastAsia="en-GB"/>
        </w:rPr>
        <w:t xml:space="preserve">ª fase): </w:t>
      </w:r>
    </w:p>
    <w:p w:rsidR="0064698E" w:rsidRDefault="00455B90" w:rsidP="005D0319">
      <w:pPr>
        <w:numPr>
          <w:ilvl w:val="0"/>
          <w:numId w:val="33"/>
        </w:numPr>
        <w:autoSpaceDE w:val="0"/>
        <w:spacing w:before="120" w:after="120"/>
        <w:ind w:hanging="414"/>
        <w:jc w:val="both"/>
        <w:rPr>
          <w:lang w:val="es-ES" w:eastAsia="en-GB"/>
        </w:rPr>
      </w:pPr>
      <w:r>
        <w:rPr>
          <w:lang w:val="es-ES" w:eastAsia="en-GB"/>
        </w:rPr>
        <w:t>E</w:t>
      </w:r>
      <w:r w:rsidR="00F30880">
        <w:rPr>
          <w:lang w:val="es-ES" w:eastAsia="en-GB"/>
        </w:rPr>
        <w:t xml:space="preserve">xpediente de licitación </w:t>
      </w:r>
      <w:r w:rsidR="00F30880" w:rsidRPr="00B33BFF">
        <w:rPr>
          <w:lang w:val="es-ES" w:eastAsia="en-GB"/>
        </w:rPr>
        <w:t>con arreglo a</w:t>
      </w:r>
      <w:r w:rsidR="00F30880">
        <w:rPr>
          <w:lang w:val="es-ES" w:eastAsia="en-GB"/>
        </w:rPr>
        <w:t xml:space="preserve"> las provisiones del PRAG</w:t>
      </w:r>
    </w:p>
    <w:p w:rsidR="00F30880" w:rsidRDefault="00F30880" w:rsidP="005D0319">
      <w:pPr>
        <w:numPr>
          <w:ilvl w:val="0"/>
          <w:numId w:val="33"/>
        </w:numPr>
        <w:autoSpaceDE w:val="0"/>
        <w:spacing w:before="120" w:after="120"/>
        <w:ind w:hanging="414"/>
        <w:jc w:val="both"/>
        <w:rPr>
          <w:lang w:val="es-ES" w:eastAsia="en-GB"/>
        </w:rPr>
      </w:pPr>
      <w:r w:rsidRPr="00B33BFF">
        <w:rPr>
          <w:lang w:val="es-ES" w:eastAsia="en-GB"/>
        </w:rPr>
        <w:t>Aclaraciones (si procede)</w:t>
      </w:r>
    </w:p>
    <w:p w:rsidR="0064698E" w:rsidRPr="005D0319" w:rsidRDefault="00F30880" w:rsidP="005D0319">
      <w:pPr>
        <w:numPr>
          <w:ilvl w:val="0"/>
          <w:numId w:val="33"/>
        </w:numPr>
        <w:autoSpaceDE w:val="0"/>
        <w:spacing w:before="120" w:after="120"/>
        <w:ind w:hanging="414"/>
        <w:jc w:val="both"/>
        <w:rPr>
          <w:lang w:val="es-ES" w:eastAsia="en-GB"/>
        </w:rPr>
      </w:pPr>
      <w:r>
        <w:rPr>
          <w:lang w:val="es-ES" w:eastAsia="en-GB"/>
        </w:rPr>
        <w:t xml:space="preserve">Corrección de errores </w:t>
      </w:r>
      <w:r w:rsidR="000F4D6B">
        <w:rPr>
          <w:lang w:val="es-ES" w:eastAsia="en-GB"/>
        </w:rPr>
        <w:t xml:space="preserve">del </w:t>
      </w:r>
      <w:r>
        <w:rPr>
          <w:lang w:val="es-ES" w:eastAsia="en-GB"/>
        </w:rPr>
        <w:t>expediente de licitación (si procede)</w:t>
      </w:r>
    </w:p>
    <w:p w:rsidR="007309BD" w:rsidRPr="00B33BFF" w:rsidRDefault="007309BD">
      <w:pPr>
        <w:autoSpaceDE w:val="0"/>
        <w:spacing w:before="120" w:after="120"/>
        <w:jc w:val="both"/>
        <w:rPr>
          <w:b/>
          <w:lang w:val="es-ES" w:eastAsia="en-GB"/>
        </w:rPr>
      </w:pPr>
      <w:r w:rsidRPr="00B33BFF">
        <w:rPr>
          <w:b/>
          <w:lang w:val="es-ES" w:eastAsia="en-GB"/>
        </w:rPr>
        <w:t xml:space="preserve">Procedimientos abiertos: </w:t>
      </w:r>
    </w:p>
    <w:p w:rsidR="007309BD" w:rsidRPr="00B33BFF" w:rsidRDefault="007309BD">
      <w:pPr>
        <w:autoSpaceDE w:val="0"/>
        <w:spacing w:before="120" w:after="120"/>
        <w:ind w:firstLine="426"/>
        <w:jc w:val="both"/>
        <w:rPr>
          <w:lang w:val="es-ES" w:eastAsia="en-GB"/>
        </w:rPr>
      </w:pPr>
      <w:r w:rsidRPr="00B33BFF">
        <w:rPr>
          <w:lang w:val="es-ES" w:eastAsia="en-GB"/>
        </w:rPr>
        <w:t xml:space="preserve">o </w:t>
      </w:r>
      <w:r>
        <w:rPr>
          <w:lang w:val="es-ES" w:eastAsia="en-GB"/>
        </w:rPr>
        <w:tab/>
      </w:r>
      <w:r w:rsidR="00F641B1" w:rsidRPr="00F641B1">
        <w:rPr>
          <w:lang w:val="es-ES" w:eastAsia="en-GB"/>
        </w:rPr>
        <w:t xml:space="preserve">Información adicional sobre </w:t>
      </w:r>
      <w:r w:rsidR="00F641B1">
        <w:rPr>
          <w:lang w:val="es-ES" w:eastAsia="en-GB"/>
        </w:rPr>
        <w:t>e</w:t>
      </w:r>
      <w:r w:rsidRPr="00B33BFF">
        <w:rPr>
          <w:lang w:val="es-ES" w:eastAsia="en-GB"/>
        </w:rPr>
        <w:t>l anuncio de contrato (obligatorio con la publicación del anuncio de contrato)</w:t>
      </w:r>
    </w:p>
    <w:p w:rsidR="007309BD" w:rsidRPr="00B33BFF" w:rsidRDefault="007309BD">
      <w:pPr>
        <w:autoSpaceDE w:val="0"/>
        <w:spacing w:before="120" w:after="120"/>
        <w:ind w:firstLine="426"/>
        <w:jc w:val="both"/>
        <w:rPr>
          <w:lang w:val="es-ES" w:eastAsia="en-GB"/>
        </w:rPr>
      </w:pPr>
      <w:r w:rsidRPr="00B33BFF">
        <w:rPr>
          <w:lang w:val="es-ES" w:eastAsia="en-GB"/>
        </w:rPr>
        <w:t xml:space="preserve">o </w:t>
      </w:r>
      <w:r>
        <w:rPr>
          <w:lang w:val="es-ES" w:eastAsia="en-GB"/>
        </w:rPr>
        <w:tab/>
      </w:r>
      <w:r w:rsidR="00455B90">
        <w:rPr>
          <w:lang w:val="es-ES" w:eastAsia="en-GB"/>
        </w:rPr>
        <w:t>E</w:t>
      </w:r>
      <w:r w:rsidRPr="00B33BFF">
        <w:rPr>
          <w:lang w:val="es-ES" w:eastAsia="en-GB"/>
        </w:rPr>
        <w:t>xpediente de licitación con arreglo a las disposiciones de PRAG (obligatorio con la publicación del anuncio de contrato)</w:t>
      </w:r>
    </w:p>
    <w:p w:rsidR="007309BD" w:rsidRPr="00B33BFF" w:rsidRDefault="007309BD">
      <w:pPr>
        <w:autoSpaceDE w:val="0"/>
        <w:spacing w:before="120" w:after="120"/>
        <w:ind w:firstLine="426"/>
        <w:jc w:val="both"/>
        <w:rPr>
          <w:lang w:val="es-ES" w:eastAsia="en-GB"/>
        </w:rPr>
      </w:pPr>
      <w:r w:rsidRPr="00B33BFF">
        <w:rPr>
          <w:lang w:val="es-ES" w:eastAsia="en-GB"/>
        </w:rPr>
        <w:t xml:space="preserve">o </w:t>
      </w:r>
      <w:r w:rsidRPr="00B33BFF">
        <w:rPr>
          <w:lang w:val="es-ES" w:eastAsia="en-GB"/>
        </w:rPr>
        <w:tab/>
        <w:t xml:space="preserve">Aclaraciones (si procede) </w:t>
      </w:r>
    </w:p>
    <w:p w:rsidR="007309BD" w:rsidRPr="007309BD" w:rsidRDefault="007309BD" w:rsidP="00B33BFF">
      <w:pPr>
        <w:autoSpaceDE w:val="0"/>
        <w:spacing w:before="120" w:after="120"/>
        <w:ind w:firstLine="426"/>
        <w:jc w:val="both"/>
        <w:rPr>
          <w:lang w:val="es-ES" w:eastAsia="en-GB"/>
        </w:rPr>
      </w:pPr>
      <w:r w:rsidRPr="00B33BFF">
        <w:rPr>
          <w:lang w:val="es-ES" w:eastAsia="en-GB"/>
        </w:rPr>
        <w:t xml:space="preserve">o </w:t>
      </w:r>
      <w:r>
        <w:rPr>
          <w:lang w:val="es-ES" w:eastAsia="en-GB"/>
        </w:rPr>
        <w:tab/>
      </w:r>
      <w:r w:rsidRPr="00B33BFF">
        <w:rPr>
          <w:lang w:val="es-ES" w:eastAsia="en-GB"/>
        </w:rPr>
        <w:t xml:space="preserve">Correcciones de errores adicionales en los documentos del anuncio de </w:t>
      </w:r>
      <w:r w:rsidR="00F641B1">
        <w:rPr>
          <w:lang w:val="es-ES" w:eastAsia="en-GB"/>
        </w:rPr>
        <w:t xml:space="preserve">contrato </w:t>
      </w:r>
      <w:r w:rsidR="00F641B1" w:rsidRPr="00F641B1">
        <w:rPr>
          <w:lang w:val="es-ES" w:eastAsia="en-GB"/>
        </w:rPr>
        <w:t xml:space="preserve">o en los </w:t>
      </w:r>
      <w:r w:rsidR="000F4D6B">
        <w:rPr>
          <w:lang w:val="es-ES" w:eastAsia="en-GB"/>
        </w:rPr>
        <w:t xml:space="preserve">del </w:t>
      </w:r>
      <w:r w:rsidR="00F641B1">
        <w:rPr>
          <w:lang w:val="es-ES" w:eastAsia="en-GB"/>
        </w:rPr>
        <w:t>expediente de licitación</w:t>
      </w:r>
      <w:r w:rsidRPr="00B33BFF">
        <w:rPr>
          <w:lang w:val="es-ES" w:eastAsia="en-GB"/>
        </w:rPr>
        <w:t xml:space="preserve"> (si procede)</w:t>
      </w:r>
    </w:p>
    <w:p w:rsidR="00F641B1" w:rsidRPr="00C5407E" w:rsidRDefault="00F641B1" w:rsidP="00B33BFF">
      <w:pPr>
        <w:pBdr>
          <w:top w:val="single" w:sz="4" w:space="1" w:color="000000"/>
          <w:left w:val="single" w:sz="4" w:space="3" w:color="000000"/>
          <w:bottom w:val="single" w:sz="4" w:space="1" w:color="000000"/>
          <w:right w:val="single" w:sz="4" w:space="4" w:color="000000"/>
        </w:pBdr>
        <w:shd w:val="clear" w:color="auto" w:fill="D9D9D9"/>
        <w:autoSpaceDE w:val="0"/>
        <w:jc w:val="both"/>
        <w:rPr>
          <w:lang w:val="es-ES" w:eastAsia="en-GB"/>
        </w:rPr>
      </w:pPr>
      <w:r>
        <w:rPr>
          <w:b/>
          <w:color w:val="000000"/>
          <w:lang w:val="es-ES" w:eastAsia="en-GB"/>
        </w:rPr>
        <w:t>Procedimiento de publicación</w:t>
      </w:r>
    </w:p>
    <w:p w:rsidR="00F641B1" w:rsidRDefault="00F641B1" w:rsidP="00B33BFF">
      <w:pPr>
        <w:tabs>
          <w:tab w:val="left" w:pos="709"/>
        </w:tabs>
        <w:autoSpaceDE w:val="0"/>
        <w:jc w:val="both"/>
        <w:rPr>
          <w:b/>
          <w:lang w:val="es-ES" w:eastAsia="en-GB"/>
        </w:rPr>
      </w:pPr>
    </w:p>
    <w:p w:rsidR="00F641B1" w:rsidRDefault="00F641B1" w:rsidP="00B33BFF">
      <w:pPr>
        <w:tabs>
          <w:tab w:val="left" w:pos="709"/>
        </w:tabs>
        <w:autoSpaceDE w:val="0"/>
        <w:jc w:val="both"/>
        <w:rPr>
          <w:b/>
          <w:lang w:val="es-ES" w:eastAsia="en-GB"/>
        </w:rPr>
      </w:pPr>
      <w:r w:rsidRPr="00F641B1">
        <w:rPr>
          <w:b/>
          <w:lang w:val="es-ES" w:eastAsia="en-GB"/>
        </w:rPr>
        <w:t>Publicación en el Suplemento del Diario Oficial de la Uni</w:t>
      </w:r>
      <w:r>
        <w:rPr>
          <w:b/>
          <w:lang w:val="es-ES" w:eastAsia="en-GB"/>
        </w:rPr>
        <w:t>ón Europea (TED) y del portal F&amp;</w:t>
      </w:r>
      <w:r w:rsidRPr="00F641B1">
        <w:rPr>
          <w:b/>
          <w:lang w:val="es-ES" w:eastAsia="en-GB"/>
        </w:rPr>
        <w:t>T</w:t>
      </w:r>
    </w:p>
    <w:p w:rsidR="00F641B1" w:rsidRPr="00B33BFF" w:rsidRDefault="00F641B1" w:rsidP="00B33BFF">
      <w:pPr>
        <w:tabs>
          <w:tab w:val="left" w:pos="709"/>
        </w:tabs>
        <w:autoSpaceDE w:val="0"/>
        <w:spacing w:after="120"/>
        <w:jc w:val="both"/>
        <w:rPr>
          <w:lang w:val="es-ES" w:eastAsia="en-GB"/>
        </w:rPr>
      </w:pPr>
      <w:r w:rsidRPr="00F641B1">
        <w:rPr>
          <w:lang w:val="es-ES" w:eastAsia="en-GB"/>
        </w:rPr>
        <w:t>En agosto de 2020 se pone</w:t>
      </w:r>
      <w:r w:rsidRPr="00B33BFF">
        <w:rPr>
          <w:lang w:val="es-ES" w:eastAsia="en-GB"/>
        </w:rPr>
        <w:t xml:space="preserve"> en marcha un nuevo procedimiento descentralizado, y en caso de gestión directa</w:t>
      </w:r>
      <w:r>
        <w:rPr>
          <w:lang w:val="es-ES" w:eastAsia="en-GB"/>
        </w:rPr>
        <w:t>,</w:t>
      </w:r>
      <w:r w:rsidRPr="00B33BFF">
        <w:rPr>
          <w:lang w:val="es-ES" w:eastAsia="en-GB"/>
        </w:rPr>
        <w:t xml:space="preserve"> cada Órgano de Contra</w:t>
      </w:r>
      <w:r w:rsidRPr="00F641B1">
        <w:rPr>
          <w:lang w:val="es-ES" w:eastAsia="en-GB"/>
        </w:rPr>
        <w:t>tación es responsable de completar los anuncios a través de</w:t>
      </w:r>
      <w:r w:rsidRPr="00B33BFF">
        <w:rPr>
          <w:lang w:val="es-ES" w:eastAsia="en-GB"/>
        </w:rPr>
        <w:t xml:space="preserve"> PPMT. </w:t>
      </w:r>
    </w:p>
    <w:p w:rsidR="00F641B1" w:rsidRPr="00B33BFF" w:rsidRDefault="00F641B1" w:rsidP="00B33BFF">
      <w:pPr>
        <w:tabs>
          <w:tab w:val="left" w:pos="709"/>
        </w:tabs>
        <w:autoSpaceDE w:val="0"/>
        <w:spacing w:after="120"/>
        <w:jc w:val="both"/>
        <w:rPr>
          <w:lang w:val="es-ES" w:eastAsia="en-GB"/>
        </w:rPr>
      </w:pPr>
      <w:r w:rsidRPr="00B33BFF">
        <w:rPr>
          <w:lang w:val="es-ES" w:eastAsia="en-GB"/>
        </w:rPr>
        <w:t>En la gestión directa, todos los usuarios responsables de la gestión de la convocatoria introduc</w:t>
      </w:r>
      <w:r w:rsidR="0016619A">
        <w:rPr>
          <w:lang w:val="es-ES" w:eastAsia="en-GB"/>
        </w:rPr>
        <w:t>en</w:t>
      </w:r>
      <w:r w:rsidRPr="00B33BFF">
        <w:rPr>
          <w:lang w:val="es-ES" w:eastAsia="en-GB"/>
        </w:rPr>
        <w:t xml:space="preserve"> directamente los anuncios a través de la herramienta corporativa PPMT y, a continuación, los validarán e</w:t>
      </w:r>
      <w:r w:rsidRPr="00F641B1">
        <w:rPr>
          <w:lang w:val="es-ES" w:eastAsia="en-GB"/>
        </w:rPr>
        <w:t>n eNotices, que los transmitirá</w:t>
      </w:r>
      <w:r w:rsidRPr="00B33BFF">
        <w:rPr>
          <w:lang w:val="es-ES" w:eastAsia="en-GB"/>
        </w:rPr>
        <w:t xml:space="preserve"> electrónicamente a la Oficina de Publicaciones para su publicación. </w:t>
      </w:r>
    </w:p>
    <w:p w:rsidR="00F641B1" w:rsidRDefault="00F641B1" w:rsidP="00B33BFF">
      <w:pPr>
        <w:tabs>
          <w:tab w:val="left" w:pos="709"/>
        </w:tabs>
        <w:autoSpaceDE w:val="0"/>
        <w:spacing w:after="120"/>
        <w:ind w:firstLine="426"/>
        <w:jc w:val="both"/>
        <w:rPr>
          <w:lang w:val="es-ES" w:eastAsia="en-GB"/>
        </w:rPr>
      </w:pPr>
      <w:r w:rsidRPr="00B33BFF">
        <w:rPr>
          <w:lang w:val="es-ES" w:eastAsia="en-GB"/>
        </w:rPr>
        <w:t xml:space="preserve">• </w:t>
      </w:r>
      <w:r>
        <w:rPr>
          <w:lang w:val="es-ES" w:eastAsia="en-GB"/>
        </w:rPr>
        <w:tab/>
        <w:t>S</w:t>
      </w:r>
      <w:r w:rsidRPr="00B33BFF">
        <w:rPr>
          <w:lang w:val="es-ES" w:eastAsia="en-GB"/>
        </w:rPr>
        <w:t xml:space="preserve">e publicarán también convocatorias locales en el Suplemento del Diario Oficial de la UE (TED) y en </w:t>
      </w:r>
      <w:r>
        <w:rPr>
          <w:lang w:val="es-ES" w:eastAsia="en-GB"/>
        </w:rPr>
        <w:t>el sitio web ‘‘</w:t>
      </w:r>
      <w:r w:rsidRPr="00B33BFF">
        <w:rPr>
          <w:noProof/>
          <w:lang w:val="es-ES"/>
        </w:rPr>
        <w:t>Funding &amp; tender opportunities (F&amp;T Portal)’’</w:t>
      </w:r>
      <w:r w:rsidRPr="00B33BFF">
        <w:rPr>
          <w:lang w:val="es-ES" w:eastAsia="en-GB"/>
        </w:rPr>
        <w:t>; sin embargo, las convocatorias locales deberán publicarse también en el Boletín Oficial del Estado beneficiario o en cualquier otro medio equivalente.</w:t>
      </w:r>
    </w:p>
    <w:p w:rsidR="00F641B1" w:rsidRPr="00B33BFF" w:rsidRDefault="00F641B1" w:rsidP="00B33BFF">
      <w:pPr>
        <w:spacing w:line="276" w:lineRule="auto"/>
        <w:jc w:val="both"/>
        <w:rPr>
          <w:noProof/>
          <w:lang w:val="es-ES"/>
        </w:rPr>
      </w:pPr>
      <w:r w:rsidRPr="00F641B1">
        <w:rPr>
          <w:lang w:val="es-ES" w:eastAsia="en-GB"/>
        </w:rPr>
        <w:t>Nota: Los formularios de los anuncios difieren l</w:t>
      </w:r>
      <w:r w:rsidR="00E84D95">
        <w:rPr>
          <w:lang w:val="es-ES" w:eastAsia="en-GB"/>
        </w:rPr>
        <w:t>igeramente de los que utiliza</w:t>
      </w:r>
      <w:r w:rsidRPr="00F641B1">
        <w:rPr>
          <w:lang w:val="es-ES" w:eastAsia="en-GB"/>
        </w:rPr>
        <w:t xml:space="preserve"> DG</w:t>
      </w:r>
      <w:r w:rsidR="0016619A">
        <w:rPr>
          <w:lang w:val="es-ES" w:eastAsia="en-GB"/>
        </w:rPr>
        <w:t xml:space="preserve"> INTPA</w:t>
      </w:r>
      <w:r>
        <w:rPr>
          <w:lang w:val="es-ES" w:eastAsia="en-GB"/>
        </w:rPr>
        <w:t xml:space="preserve">. </w:t>
      </w:r>
      <w:r w:rsidRPr="00F641B1">
        <w:rPr>
          <w:lang w:val="es-ES" w:eastAsia="en-GB"/>
        </w:rPr>
        <w:t xml:space="preserve">Por tanto, para cada anuncio de contrato (A5e), es </w:t>
      </w:r>
      <w:r w:rsidRPr="005D0319">
        <w:rPr>
          <w:u w:val="single"/>
          <w:lang w:val="es-ES" w:eastAsia="en-GB"/>
        </w:rPr>
        <w:t>obligatorio</w:t>
      </w:r>
      <w:r w:rsidRPr="00F641B1">
        <w:rPr>
          <w:lang w:val="es-ES" w:eastAsia="en-GB"/>
        </w:rPr>
        <w:t xml:space="preserve"> preparar también el anexo (A5f) — Información adicional sobre el anuncio de contrato. </w:t>
      </w:r>
      <w:r w:rsidR="003C2F8D">
        <w:rPr>
          <w:lang w:val="es-ES" w:eastAsia="en-GB"/>
        </w:rPr>
        <w:t xml:space="preserve">Los campos codificados en PPMT se transmiten automáticamente a los campos equivalentes en eNotices. </w:t>
      </w:r>
      <w:r>
        <w:rPr>
          <w:lang w:val="es-ES" w:eastAsia="en-GB"/>
        </w:rPr>
        <w:t xml:space="preserve">Para información adicional </w:t>
      </w:r>
      <w:r w:rsidRPr="00F641B1">
        <w:rPr>
          <w:lang w:val="es-ES" w:eastAsia="en-GB"/>
        </w:rPr>
        <w:t xml:space="preserve">sobre </w:t>
      </w:r>
      <w:r>
        <w:rPr>
          <w:lang w:val="es-ES" w:eastAsia="en-GB"/>
        </w:rPr>
        <w:t>los campos de</w:t>
      </w:r>
      <w:r w:rsidRPr="00F641B1">
        <w:rPr>
          <w:lang w:val="es-ES" w:eastAsia="en-GB"/>
        </w:rPr>
        <w:t xml:space="preserve"> eNotices</w:t>
      </w:r>
      <w:r>
        <w:rPr>
          <w:lang w:val="es-ES" w:eastAsia="en-GB"/>
        </w:rPr>
        <w:t>,</w:t>
      </w:r>
      <w:r w:rsidRPr="00F641B1">
        <w:rPr>
          <w:lang w:val="es-ES" w:eastAsia="en-GB"/>
        </w:rPr>
        <w:t xml:space="preserve"> </w:t>
      </w:r>
      <w:r>
        <w:rPr>
          <w:lang w:val="es-ES" w:eastAsia="en-GB"/>
        </w:rPr>
        <w:t>consulte</w:t>
      </w:r>
      <w:r w:rsidRPr="00F641B1">
        <w:rPr>
          <w:lang w:val="es-ES" w:eastAsia="en-GB"/>
        </w:rPr>
        <w:t xml:space="preserve"> la siguiente dirección:</w:t>
      </w:r>
      <w:r>
        <w:rPr>
          <w:lang w:val="es-ES" w:eastAsia="en-GB"/>
        </w:rPr>
        <w:t xml:space="preserve"> </w:t>
      </w:r>
      <w:hyperlink r:id="rId14" w:history="1">
        <w:r w:rsidRPr="00B33BFF">
          <w:rPr>
            <w:rStyle w:val="Hyperlink"/>
            <w:noProof/>
            <w:lang w:val="es-ES"/>
          </w:rPr>
          <w:t>https://myintracomm.ec.europa.eu/budgweb/EN/imp/procurement/Documents/simap-enotice-procurement-en.pdf</w:t>
        </w:r>
      </w:hyperlink>
    </w:p>
    <w:p w:rsidR="00F641B1" w:rsidRDefault="00F641B1" w:rsidP="00B33BFF">
      <w:pPr>
        <w:spacing w:line="276" w:lineRule="auto"/>
        <w:jc w:val="both"/>
        <w:rPr>
          <w:noProof/>
          <w:lang w:val="es-ES"/>
        </w:rPr>
      </w:pPr>
    </w:p>
    <w:p w:rsidR="00E62552" w:rsidRDefault="00E62552" w:rsidP="00B33BFF">
      <w:pPr>
        <w:spacing w:line="276" w:lineRule="auto"/>
        <w:jc w:val="both"/>
        <w:rPr>
          <w:b/>
          <w:noProof/>
          <w:lang w:val="es-ES"/>
        </w:rPr>
      </w:pPr>
      <w:r w:rsidRPr="00B33BFF">
        <w:rPr>
          <w:b/>
          <w:noProof/>
          <w:lang w:val="es-ES"/>
        </w:rPr>
        <w:t>Etapas:</w:t>
      </w:r>
    </w:p>
    <w:p w:rsidR="00E62552" w:rsidRDefault="00E62552" w:rsidP="00B33BFF">
      <w:pPr>
        <w:spacing w:line="276" w:lineRule="auto"/>
        <w:jc w:val="both"/>
        <w:rPr>
          <w:b/>
          <w:noProof/>
          <w:lang w:val="es-ES"/>
        </w:rPr>
      </w:pPr>
    </w:p>
    <w:p w:rsidR="00E62552" w:rsidRDefault="00E62552" w:rsidP="00B33BFF">
      <w:pPr>
        <w:numPr>
          <w:ilvl w:val="0"/>
          <w:numId w:val="30"/>
        </w:numPr>
        <w:spacing w:line="276" w:lineRule="auto"/>
        <w:jc w:val="both"/>
        <w:rPr>
          <w:noProof/>
          <w:lang w:val="es-ES"/>
        </w:rPr>
      </w:pPr>
      <w:r w:rsidRPr="00B33BFF">
        <w:rPr>
          <w:noProof/>
          <w:lang w:val="es-ES"/>
        </w:rPr>
        <w:t>Se crea un</w:t>
      </w:r>
      <w:r w:rsidR="003C2F8D">
        <w:rPr>
          <w:noProof/>
          <w:lang w:val="es-ES"/>
        </w:rPr>
        <w:t>a</w:t>
      </w:r>
      <w:r w:rsidRPr="00B33BFF">
        <w:rPr>
          <w:noProof/>
          <w:lang w:val="es-ES"/>
        </w:rPr>
        <w:t xml:space="preserve"> licitación en PPMT. E</w:t>
      </w:r>
      <w:r>
        <w:rPr>
          <w:noProof/>
          <w:lang w:val="es-ES"/>
        </w:rPr>
        <w:t>n la terminologia de PPMT e</w:t>
      </w:r>
      <w:r w:rsidRPr="00B33BFF">
        <w:rPr>
          <w:noProof/>
          <w:lang w:val="es-ES"/>
        </w:rPr>
        <w:t xml:space="preserve">sto significa iniciar un «procedimiento». </w:t>
      </w:r>
    </w:p>
    <w:p w:rsidR="00E62552" w:rsidRDefault="00E62552" w:rsidP="00B33BFF">
      <w:pPr>
        <w:numPr>
          <w:ilvl w:val="0"/>
          <w:numId w:val="30"/>
        </w:numPr>
        <w:spacing w:line="276" w:lineRule="auto"/>
        <w:jc w:val="both"/>
        <w:rPr>
          <w:noProof/>
          <w:lang w:val="es-ES"/>
        </w:rPr>
      </w:pPr>
      <w:r w:rsidRPr="00B33BFF">
        <w:rPr>
          <w:noProof/>
          <w:lang w:val="es-ES"/>
        </w:rPr>
        <w:t>A parti</w:t>
      </w:r>
      <w:r w:rsidRPr="00E62552">
        <w:rPr>
          <w:noProof/>
          <w:lang w:val="es-ES"/>
        </w:rPr>
        <w:t>r de los datos codificados en</w:t>
      </w:r>
      <w:r w:rsidRPr="00B33BFF">
        <w:rPr>
          <w:noProof/>
          <w:lang w:val="es-ES"/>
        </w:rPr>
        <w:t xml:space="preserve"> PPMT, se genera el anuncio de contrato en TED eNotices</w:t>
      </w:r>
      <w:r w:rsidRPr="00E62552">
        <w:rPr>
          <w:noProof/>
          <w:lang w:val="es-ES"/>
        </w:rPr>
        <w:t>.</w:t>
      </w:r>
      <w:r w:rsidRPr="00B33BFF">
        <w:rPr>
          <w:noProof/>
          <w:lang w:val="es-ES"/>
        </w:rPr>
        <w:t xml:space="preserve"> </w:t>
      </w:r>
    </w:p>
    <w:p w:rsidR="00ED482F" w:rsidRDefault="00ED482F" w:rsidP="00B33BFF">
      <w:pPr>
        <w:numPr>
          <w:ilvl w:val="0"/>
          <w:numId w:val="30"/>
        </w:numPr>
        <w:spacing w:line="276" w:lineRule="auto"/>
        <w:jc w:val="both"/>
        <w:rPr>
          <w:noProof/>
          <w:lang w:val="es-ES"/>
        </w:rPr>
      </w:pPr>
      <w:r>
        <w:rPr>
          <w:noProof/>
          <w:lang w:val="es-ES"/>
        </w:rPr>
        <w:t xml:space="preserve">La version pdf </w:t>
      </w:r>
      <w:r w:rsidR="000F4D6B" w:rsidRPr="000F4D6B">
        <w:rPr>
          <w:noProof/>
          <w:lang w:val="es-ES"/>
        </w:rPr>
        <w:t>de este</w:t>
      </w:r>
      <w:r w:rsidRPr="000F4D6B">
        <w:rPr>
          <w:noProof/>
          <w:lang w:val="es-ES"/>
        </w:rPr>
        <w:t xml:space="preserve"> borrador</w:t>
      </w:r>
      <w:r w:rsidR="000F4D6B">
        <w:rPr>
          <w:noProof/>
          <w:lang w:val="es-ES"/>
        </w:rPr>
        <w:t xml:space="preserve"> de</w:t>
      </w:r>
      <w:r w:rsidR="00BE6C8F">
        <w:rPr>
          <w:noProof/>
          <w:lang w:val="es-ES"/>
        </w:rPr>
        <w:t xml:space="preserve"> anuncio de contrato, se importa en PPMT en la licitacion. De esta manera, se incluye en </w:t>
      </w:r>
      <w:r w:rsidR="00277AC7">
        <w:rPr>
          <w:noProof/>
          <w:lang w:val="es-ES"/>
        </w:rPr>
        <w:t xml:space="preserve">el </w:t>
      </w:r>
      <w:r w:rsidR="00BE6C8F">
        <w:rPr>
          <w:noProof/>
          <w:lang w:val="es-ES"/>
        </w:rPr>
        <w:t>circuito de visa de la licitacion en ARES.</w:t>
      </w:r>
    </w:p>
    <w:p w:rsidR="00BE6C8F" w:rsidRDefault="00BE6C8F" w:rsidP="00B33BFF">
      <w:pPr>
        <w:numPr>
          <w:ilvl w:val="0"/>
          <w:numId w:val="30"/>
        </w:numPr>
        <w:spacing w:line="276" w:lineRule="auto"/>
        <w:jc w:val="both"/>
        <w:rPr>
          <w:noProof/>
          <w:lang w:val="es-ES"/>
        </w:rPr>
      </w:pPr>
      <w:r>
        <w:rPr>
          <w:noProof/>
          <w:lang w:val="es-ES"/>
        </w:rPr>
        <w:t>El circuito de visa ARES</w:t>
      </w:r>
      <w:r w:rsidR="007C2D35">
        <w:rPr>
          <w:noProof/>
          <w:lang w:val="es-ES"/>
        </w:rPr>
        <w:t xml:space="preserve"> comienza para validar los documentos de la licitacion, incluyendo el borrador de anuncio de contrato y el expediente de licitacion.</w:t>
      </w:r>
    </w:p>
    <w:p w:rsidR="007C2D35" w:rsidRDefault="007C2D35" w:rsidP="00B33BFF">
      <w:pPr>
        <w:numPr>
          <w:ilvl w:val="0"/>
          <w:numId w:val="30"/>
        </w:numPr>
        <w:spacing w:line="276" w:lineRule="auto"/>
        <w:jc w:val="both"/>
        <w:rPr>
          <w:noProof/>
          <w:lang w:val="es-ES"/>
        </w:rPr>
      </w:pPr>
      <w:r>
        <w:rPr>
          <w:noProof/>
          <w:lang w:val="es-ES"/>
        </w:rPr>
        <w:t>El expediente de licitacion aprobado en ARES</w:t>
      </w:r>
      <w:r w:rsidR="00E42A9B">
        <w:rPr>
          <w:noProof/>
          <w:lang w:val="es-ES"/>
        </w:rPr>
        <w:t>,</w:t>
      </w:r>
      <w:r>
        <w:rPr>
          <w:noProof/>
          <w:lang w:val="es-ES"/>
        </w:rPr>
        <w:t xml:space="preserve"> se transfiere a TED e Tendering.</w:t>
      </w:r>
    </w:p>
    <w:p w:rsidR="007C2D35" w:rsidRDefault="007C2D35" w:rsidP="00B33BFF">
      <w:pPr>
        <w:numPr>
          <w:ilvl w:val="0"/>
          <w:numId w:val="30"/>
        </w:numPr>
        <w:spacing w:line="276" w:lineRule="auto"/>
        <w:jc w:val="both"/>
        <w:rPr>
          <w:noProof/>
          <w:lang w:val="es-ES"/>
        </w:rPr>
      </w:pPr>
      <w:r>
        <w:rPr>
          <w:noProof/>
          <w:lang w:val="es-ES"/>
        </w:rPr>
        <w:t>Seguidamente</w:t>
      </w:r>
      <w:r w:rsidR="00277AC7">
        <w:rPr>
          <w:noProof/>
          <w:lang w:val="es-ES"/>
        </w:rPr>
        <w:t>,</w:t>
      </w:r>
      <w:r>
        <w:rPr>
          <w:noProof/>
          <w:lang w:val="es-ES"/>
        </w:rPr>
        <w:t xml:space="preserve"> el anuncio de contrato aprobado</w:t>
      </w:r>
      <w:r w:rsidR="00277AC7">
        <w:rPr>
          <w:noProof/>
          <w:lang w:val="es-ES"/>
        </w:rPr>
        <w:t>,</w:t>
      </w:r>
      <w:r>
        <w:rPr>
          <w:noProof/>
          <w:lang w:val="es-ES"/>
        </w:rPr>
        <w:t xml:space="preserve"> se envia para su publicacion </w:t>
      </w:r>
      <w:r w:rsidR="00277AC7">
        <w:rPr>
          <w:noProof/>
          <w:lang w:val="es-ES"/>
        </w:rPr>
        <w:t>en eNoticies</w:t>
      </w:r>
      <w:r w:rsidR="00E42A9B">
        <w:rPr>
          <w:noProof/>
          <w:lang w:val="es-ES"/>
        </w:rPr>
        <w:t>, a la oficina de publicacion</w:t>
      </w:r>
      <w:r>
        <w:rPr>
          <w:noProof/>
          <w:lang w:val="es-ES"/>
        </w:rPr>
        <w:t>.</w:t>
      </w:r>
    </w:p>
    <w:p w:rsidR="00D4256D" w:rsidRDefault="00D4256D" w:rsidP="00B33BFF">
      <w:pPr>
        <w:numPr>
          <w:ilvl w:val="0"/>
          <w:numId w:val="30"/>
        </w:numPr>
        <w:spacing w:line="276" w:lineRule="auto"/>
        <w:jc w:val="both"/>
        <w:rPr>
          <w:noProof/>
          <w:lang w:val="es-ES"/>
        </w:rPr>
      </w:pPr>
      <w:r w:rsidRPr="00D4256D">
        <w:rPr>
          <w:noProof/>
          <w:lang w:val="es-ES"/>
        </w:rPr>
        <w:t>En la fecha de publicación, el anuncio de c</w:t>
      </w:r>
      <w:r w:rsidR="0017786D" w:rsidRPr="0017786D">
        <w:rPr>
          <w:noProof/>
          <w:lang w:val="es-ES"/>
        </w:rPr>
        <w:t xml:space="preserve">ontrato (TED) y </w:t>
      </w:r>
      <w:r w:rsidR="009C0360">
        <w:rPr>
          <w:noProof/>
          <w:lang w:val="es-ES"/>
        </w:rPr>
        <w:t xml:space="preserve">el </w:t>
      </w:r>
      <w:r w:rsidR="00D341CA">
        <w:rPr>
          <w:noProof/>
          <w:lang w:val="es-ES"/>
        </w:rPr>
        <w:t xml:space="preserve">expediente de licitacion </w:t>
      </w:r>
      <w:r>
        <w:rPr>
          <w:noProof/>
          <w:lang w:val="es-ES"/>
        </w:rPr>
        <w:t>(eTendering)</w:t>
      </w:r>
      <w:r w:rsidR="00E62552" w:rsidRPr="00B33BFF">
        <w:rPr>
          <w:noProof/>
          <w:lang w:val="es-ES"/>
        </w:rPr>
        <w:t xml:space="preserve"> se publican simultáneamente. </w:t>
      </w:r>
    </w:p>
    <w:p w:rsidR="00E62552" w:rsidRPr="00B33BFF" w:rsidRDefault="00D4256D" w:rsidP="00B33BFF">
      <w:pPr>
        <w:numPr>
          <w:ilvl w:val="0"/>
          <w:numId w:val="30"/>
        </w:numPr>
        <w:spacing w:line="276" w:lineRule="auto"/>
        <w:jc w:val="both"/>
        <w:rPr>
          <w:noProof/>
          <w:lang w:val="es-ES"/>
        </w:rPr>
      </w:pPr>
      <w:r>
        <w:rPr>
          <w:noProof/>
          <w:lang w:val="es-ES"/>
        </w:rPr>
        <w:t xml:space="preserve">Simultanemente, </w:t>
      </w:r>
      <w:r w:rsidR="00D341CA">
        <w:rPr>
          <w:noProof/>
          <w:lang w:val="es-ES"/>
        </w:rPr>
        <w:t xml:space="preserve">la </w:t>
      </w:r>
      <w:r w:rsidR="00E62552" w:rsidRPr="00B33BFF">
        <w:rPr>
          <w:noProof/>
          <w:lang w:val="es-ES"/>
        </w:rPr>
        <w:t xml:space="preserve">licitación se publicará también en </w:t>
      </w:r>
      <w:r>
        <w:rPr>
          <w:noProof/>
          <w:lang w:val="es-ES"/>
        </w:rPr>
        <w:t xml:space="preserve">el portal </w:t>
      </w:r>
      <w:r w:rsidRPr="00D4256D">
        <w:rPr>
          <w:noProof/>
          <w:lang w:val="es-ES"/>
        </w:rPr>
        <w:t>F&amp;T</w:t>
      </w:r>
      <w:r w:rsidR="00D341CA">
        <w:rPr>
          <w:noProof/>
          <w:lang w:val="es-ES"/>
        </w:rPr>
        <w:t>. La publicacion en F&amp;T</w:t>
      </w:r>
      <w:r w:rsidR="00E62552" w:rsidRPr="00B33BFF">
        <w:rPr>
          <w:noProof/>
          <w:lang w:val="es-ES"/>
        </w:rPr>
        <w:t xml:space="preserve"> consist</w:t>
      </w:r>
      <w:r w:rsidR="00D341CA">
        <w:rPr>
          <w:noProof/>
          <w:lang w:val="es-ES"/>
        </w:rPr>
        <w:t>e</w:t>
      </w:r>
      <w:r w:rsidR="00E62552" w:rsidRPr="00B33BFF">
        <w:rPr>
          <w:noProof/>
          <w:lang w:val="es-ES"/>
        </w:rPr>
        <w:t xml:space="preserve"> en un enlace que diri</w:t>
      </w:r>
      <w:r w:rsidR="00D341CA">
        <w:rPr>
          <w:noProof/>
          <w:lang w:val="es-ES"/>
        </w:rPr>
        <w:t>ge al operador economico a TED</w:t>
      </w:r>
      <w:r w:rsidR="00E62552" w:rsidRPr="00B33BFF">
        <w:rPr>
          <w:noProof/>
          <w:lang w:val="es-ES"/>
        </w:rPr>
        <w:t xml:space="preserve"> eTendering. </w:t>
      </w:r>
    </w:p>
    <w:p w:rsidR="00E62552" w:rsidRPr="00B33BFF" w:rsidRDefault="00E62552" w:rsidP="00B33BFF">
      <w:pPr>
        <w:spacing w:line="276" w:lineRule="auto"/>
        <w:jc w:val="both"/>
        <w:rPr>
          <w:noProof/>
          <w:lang w:val="es-ES"/>
        </w:rPr>
      </w:pPr>
    </w:p>
    <w:p w:rsidR="00577A9F" w:rsidRDefault="0017786D" w:rsidP="005D0319">
      <w:pPr>
        <w:spacing w:line="276" w:lineRule="auto"/>
        <w:ind w:left="360"/>
        <w:jc w:val="both"/>
        <w:rPr>
          <w:lang w:val="es-ES"/>
        </w:rPr>
      </w:pPr>
      <w:r w:rsidRPr="00B33BFF">
        <w:rPr>
          <w:noProof/>
          <w:lang w:val="es-ES"/>
        </w:rPr>
        <w:t>Para o</w:t>
      </w:r>
      <w:r w:rsidR="00E62552" w:rsidRPr="00B33BFF">
        <w:rPr>
          <w:noProof/>
          <w:lang w:val="es-ES"/>
        </w:rPr>
        <w:t>rientaciones adicionales:</w:t>
      </w:r>
      <w:r>
        <w:rPr>
          <w:b/>
          <w:noProof/>
          <w:lang w:val="es-ES"/>
        </w:rPr>
        <w:t xml:space="preserve"> </w:t>
      </w:r>
      <w:hyperlink r:id="rId15" w:history="1">
        <w:r w:rsidR="00E12CEC" w:rsidRPr="005D0319">
          <w:rPr>
            <w:rStyle w:val="Hyperlink"/>
            <w:lang w:val="es-ES"/>
          </w:rPr>
          <w:t>https://webgate.ec.europa.eu/fpfis/wikis/display/RelexInternalWiki/Procurement+with+Publication</w:t>
        </w:r>
      </w:hyperlink>
      <w:r w:rsidR="00E12CEC" w:rsidRPr="005D0319">
        <w:rPr>
          <w:lang w:val="es-ES"/>
        </w:rPr>
        <w:t xml:space="preserve"> </w:t>
      </w:r>
    </w:p>
    <w:p w:rsidR="00F641B1" w:rsidRPr="00B33BFF" w:rsidRDefault="00F641B1" w:rsidP="005D0319">
      <w:pPr>
        <w:spacing w:line="276" w:lineRule="auto"/>
        <w:ind w:left="360"/>
        <w:jc w:val="both"/>
        <w:rPr>
          <w:lang w:val="es-ES" w:eastAsia="en-GB"/>
        </w:rPr>
      </w:pPr>
    </w:p>
    <w:p w:rsidR="005A4C12" w:rsidRPr="00E2720F" w:rsidRDefault="00E36AFC" w:rsidP="00B33BFF">
      <w:pPr>
        <w:keepNext/>
        <w:pBdr>
          <w:top w:val="single" w:sz="4" w:space="1" w:color="000000"/>
          <w:left w:val="single" w:sz="4" w:space="4" w:color="000000"/>
          <w:bottom w:val="single" w:sz="4" w:space="1" w:color="000000"/>
          <w:right w:val="single" w:sz="4" w:space="4" w:color="000000"/>
        </w:pBdr>
        <w:shd w:val="clear" w:color="auto" w:fill="D9D9D9"/>
        <w:autoSpaceDE w:val="0"/>
        <w:jc w:val="both"/>
        <w:rPr>
          <w:lang w:val="es-ES" w:eastAsia="en-GB"/>
        </w:rPr>
      </w:pPr>
      <w:r>
        <w:rPr>
          <w:b/>
          <w:color w:val="000000"/>
          <w:lang w:val="es-ES" w:eastAsia="en-GB"/>
        </w:rPr>
        <w:t>Plazos de publicación</w:t>
      </w:r>
    </w:p>
    <w:p w:rsidR="00E36AFC" w:rsidRPr="00B33BFF" w:rsidRDefault="00E36AFC" w:rsidP="00B33BFF">
      <w:pPr>
        <w:spacing w:before="240" w:after="120"/>
        <w:jc w:val="both"/>
        <w:rPr>
          <w:b/>
          <w:noProof/>
          <w:lang w:val="es-ES"/>
        </w:rPr>
      </w:pPr>
      <w:r w:rsidRPr="00B33BFF">
        <w:rPr>
          <w:b/>
          <w:noProof/>
          <w:lang w:val="es-ES"/>
        </w:rPr>
        <w:t xml:space="preserve">Para los anuncios que deben publicarse en TED </w:t>
      </w:r>
    </w:p>
    <w:p w:rsidR="00E36AFC" w:rsidRDefault="00E36AFC" w:rsidP="00B33BFF">
      <w:pPr>
        <w:numPr>
          <w:ilvl w:val="0"/>
          <w:numId w:val="31"/>
        </w:numPr>
        <w:spacing w:before="240" w:after="120"/>
        <w:jc w:val="both"/>
        <w:rPr>
          <w:noProof/>
          <w:lang w:val="es-ES"/>
        </w:rPr>
      </w:pPr>
      <w:r w:rsidRPr="00B33BFF">
        <w:rPr>
          <w:b/>
          <w:noProof/>
          <w:lang w:val="es-ES"/>
        </w:rPr>
        <w:t>Máximo 5 días naturales</w:t>
      </w:r>
      <w:r w:rsidRPr="00E36AFC">
        <w:rPr>
          <w:noProof/>
          <w:lang w:val="es-ES"/>
        </w:rPr>
        <w:t xml:space="preserve"> par</w:t>
      </w:r>
      <w:r>
        <w:rPr>
          <w:noProof/>
          <w:lang w:val="es-ES"/>
        </w:rPr>
        <w:t>a todos los documentos, contando</w:t>
      </w:r>
      <w:r w:rsidRPr="00E36AFC">
        <w:rPr>
          <w:noProof/>
          <w:lang w:val="es-ES"/>
        </w:rPr>
        <w:t xml:space="preserve"> desde el día siguiente a la transmisión electrónica a la Oficina de Publicaciones.</w:t>
      </w:r>
    </w:p>
    <w:p w:rsidR="00E36AFC" w:rsidRDefault="00E36AFC" w:rsidP="00B33BFF">
      <w:pPr>
        <w:pBdr>
          <w:top w:val="single" w:sz="4" w:space="1" w:color="000000"/>
          <w:left w:val="single" w:sz="4" w:space="4" w:color="000000"/>
          <w:bottom w:val="single" w:sz="4" w:space="1" w:color="000000"/>
          <w:right w:val="single" w:sz="4" w:space="4" w:color="000000"/>
        </w:pBdr>
        <w:autoSpaceDE w:val="0"/>
        <w:jc w:val="both"/>
        <w:rPr>
          <w:lang w:val="es-ES"/>
        </w:rPr>
      </w:pPr>
      <w:r w:rsidRPr="00B33BFF">
        <w:rPr>
          <w:b/>
          <w:bCs/>
          <w:iCs/>
          <w:lang w:val="es-ES"/>
        </w:rPr>
        <w:t>TED</w:t>
      </w:r>
      <w:r w:rsidRPr="00B33BFF">
        <w:rPr>
          <w:b/>
          <w:bCs/>
          <w:i/>
          <w:iCs/>
          <w:lang w:val="es-ES"/>
        </w:rPr>
        <w:t xml:space="preserve"> </w:t>
      </w:r>
      <w:r w:rsidRPr="00B33BFF">
        <w:rPr>
          <w:lang w:val="es-ES"/>
        </w:rPr>
        <w:t>(</w:t>
      </w:r>
      <w:r w:rsidRPr="00B33BFF">
        <w:rPr>
          <w:b/>
          <w:bCs/>
          <w:lang w:val="es-ES"/>
        </w:rPr>
        <w:t>T</w:t>
      </w:r>
      <w:r w:rsidRPr="00B33BFF">
        <w:rPr>
          <w:lang w:val="es-ES"/>
        </w:rPr>
        <w:t xml:space="preserve">enders </w:t>
      </w:r>
      <w:r w:rsidRPr="00B33BFF">
        <w:rPr>
          <w:b/>
          <w:bCs/>
          <w:lang w:val="es-ES"/>
        </w:rPr>
        <w:t>E</w:t>
      </w:r>
      <w:r w:rsidRPr="00B33BFF">
        <w:rPr>
          <w:lang w:val="es-ES"/>
        </w:rPr>
        <w:t xml:space="preserve">lectronic </w:t>
      </w:r>
      <w:r w:rsidRPr="00B33BFF">
        <w:rPr>
          <w:b/>
          <w:bCs/>
          <w:lang w:val="es-ES"/>
        </w:rPr>
        <w:t>D</w:t>
      </w:r>
      <w:r w:rsidRPr="00B33BFF">
        <w:rPr>
          <w:lang w:val="es-ES"/>
        </w:rPr>
        <w:t xml:space="preserve">aily) </w:t>
      </w:r>
      <w:r w:rsidR="005A4C12" w:rsidRPr="00E2720F">
        <w:rPr>
          <w:lang w:val="es-ES"/>
        </w:rPr>
        <w:t>se publica cada día</w:t>
      </w:r>
      <w:r w:rsidR="000517DE" w:rsidRPr="00E2720F">
        <w:rPr>
          <w:lang w:val="es-ES"/>
        </w:rPr>
        <w:t>,</w:t>
      </w:r>
      <w:r w:rsidR="005A4C12" w:rsidRPr="00E2720F">
        <w:rPr>
          <w:lang w:val="es-ES"/>
        </w:rPr>
        <w:t xml:space="preserve"> </w:t>
      </w:r>
      <w:r w:rsidR="005A4C12" w:rsidRPr="00E2720F">
        <w:rPr>
          <w:b/>
          <w:lang w:val="es-ES"/>
        </w:rPr>
        <w:t xml:space="preserve">excepto </w:t>
      </w:r>
      <w:r w:rsidR="002C3DC8" w:rsidRPr="00E2720F">
        <w:rPr>
          <w:b/>
          <w:lang w:val="es-ES"/>
        </w:rPr>
        <w:t xml:space="preserve">los </w:t>
      </w:r>
      <w:r w:rsidR="00EF03FB">
        <w:rPr>
          <w:b/>
          <w:lang w:val="es-ES"/>
        </w:rPr>
        <w:t xml:space="preserve">sábados y </w:t>
      </w:r>
      <w:r w:rsidR="005A4C12" w:rsidRPr="00E2720F">
        <w:rPr>
          <w:b/>
          <w:lang w:val="es-ES"/>
        </w:rPr>
        <w:t>domingos</w:t>
      </w:r>
      <w:r w:rsidR="00EF03FB">
        <w:rPr>
          <w:b/>
          <w:lang w:val="es-ES"/>
        </w:rPr>
        <w:t>,</w:t>
      </w:r>
      <w:r w:rsidR="005A4C12" w:rsidRPr="00E2720F">
        <w:rPr>
          <w:b/>
          <w:lang w:val="es-ES"/>
        </w:rPr>
        <w:t xml:space="preserve"> </w:t>
      </w:r>
      <w:r w:rsidR="000517DE" w:rsidRPr="00E2720F">
        <w:rPr>
          <w:lang w:val="es-ES"/>
        </w:rPr>
        <w:t>y</w:t>
      </w:r>
      <w:r w:rsidR="005A4C12" w:rsidRPr="00E2720F">
        <w:rPr>
          <w:lang w:val="es-ES"/>
        </w:rPr>
        <w:t xml:space="preserve"> determinados días festivos</w:t>
      </w:r>
      <w:r w:rsidR="002C3DC8" w:rsidRPr="00E2720F">
        <w:rPr>
          <w:lang w:val="es-ES"/>
        </w:rPr>
        <w:t>.</w:t>
      </w:r>
      <w:r w:rsidR="005A4C12" w:rsidRPr="00E2720F">
        <w:rPr>
          <w:lang w:val="es-ES"/>
        </w:rPr>
        <w:t xml:space="preserve"> </w:t>
      </w:r>
    </w:p>
    <w:p w:rsidR="00E36AFC" w:rsidRDefault="00E36AFC" w:rsidP="00B33BFF">
      <w:pPr>
        <w:pBdr>
          <w:top w:val="single" w:sz="4" w:space="1" w:color="000000"/>
          <w:left w:val="single" w:sz="4" w:space="4" w:color="000000"/>
          <w:bottom w:val="single" w:sz="4" w:space="1" w:color="000000"/>
          <w:right w:val="single" w:sz="4" w:space="4" w:color="000000"/>
        </w:pBdr>
        <w:autoSpaceDE w:val="0"/>
        <w:jc w:val="both"/>
        <w:rPr>
          <w:lang w:val="es-ES"/>
        </w:rPr>
      </w:pPr>
    </w:p>
    <w:p w:rsidR="00E36AFC" w:rsidRDefault="00E36AFC" w:rsidP="00B33BFF">
      <w:pPr>
        <w:pBdr>
          <w:top w:val="single" w:sz="4" w:space="1" w:color="000000"/>
          <w:left w:val="single" w:sz="4" w:space="4" w:color="000000"/>
          <w:bottom w:val="single" w:sz="4" w:space="1" w:color="000000"/>
          <w:right w:val="single" w:sz="4" w:space="4" w:color="000000"/>
        </w:pBdr>
        <w:autoSpaceDE w:val="0"/>
        <w:jc w:val="both"/>
        <w:rPr>
          <w:lang w:val="es-ES"/>
        </w:rPr>
      </w:pPr>
      <w:r w:rsidRPr="00E36AFC">
        <w:rPr>
          <w:lang w:val="es-ES"/>
        </w:rPr>
        <w:t>Las fechas de publicación (plan de producc</w:t>
      </w:r>
      <w:r>
        <w:rPr>
          <w:lang w:val="es-ES"/>
        </w:rPr>
        <w:t xml:space="preserve">ión anual) pueden consultarse aquí: </w:t>
      </w:r>
      <w:hyperlink r:id="rId16" w:history="1">
        <w:r w:rsidRPr="00E36AFC">
          <w:rPr>
            <w:rStyle w:val="Hyperlink"/>
            <w:lang w:val="es-ES"/>
          </w:rPr>
          <w:t>https://ted.europa.eu/TED/misc/releaseCalendar.do</w:t>
        </w:r>
      </w:hyperlink>
      <w:r w:rsidRPr="00E36AFC">
        <w:rPr>
          <w:lang w:val="es-ES"/>
        </w:rPr>
        <w:t>;</w:t>
      </w:r>
    </w:p>
    <w:p w:rsidR="00E36AFC" w:rsidRDefault="00E36AFC" w:rsidP="00B33BFF">
      <w:pPr>
        <w:pBdr>
          <w:top w:val="single" w:sz="4" w:space="1" w:color="000000"/>
          <w:left w:val="single" w:sz="4" w:space="4" w:color="000000"/>
          <w:bottom w:val="single" w:sz="4" w:space="1" w:color="000000"/>
          <w:right w:val="single" w:sz="4" w:space="4" w:color="000000"/>
        </w:pBdr>
        <w:autoSpaceDE w:val="0"/>
        <w:jc w:val="both"/>
        <w:rPr>
          <w:lang w:val="es-ES"/>
        </w:rPr>
      </w:pPr>
    </w:p>
    <w:p w:rsidR="00E36AFC" w:rsidRPr="00B33BFF" w:rsidRDefault="00E36AFC" w:rsidP="00B33BFF">
      <w:pPr>
        <w:pBdr>
          <w:top w:val="single" w:sz="4" w:space="1" w:color="000000"/>
          <w:left w:val="single" w:sz="4" w:space="4" w:color="000000"/>
          <w:bottom w:val="single" w:sz="4" w:space="1" w:color="000000"/>
          <w:right w:val="single" w:sz="4" w:space="4" w:color="000000"/>
        </w:pBdr>
        <w:autoSpaceDE w:val="0"/>
        <w:jc w:val="both"/>
        <w:rPr>
          <w:b/>
          <w:lang w:val="es-ES"/>
        </w:rPr>
      </w:pPr>
      <w:r w:rsidRPr="00B33BFF">
        <w:rPr>
          <w:b/>
          <w:lang w:val="es-ES"/>
        </w:rPr>
        <w:t>Nota</w:t>
      </w:r>
      <w:r w:rsidRPr="00E36AFC">
        <w:rPr>
          <w:lang w:val="es-ES"/>
        </w:rPr>
        <w:t xml:space="preserve">: Si el plazo de 5 días naturales termina en sábado, domingo o un día </w:t>
      </w:r>
      <w:r>
        <w:rPr>
          <w:lang w:val="es-ES"/>
        </w:rPr>
        <w:t>sin publicación</w:t>
      </w:r>
      <w:r w:rsidRPr="00E36AFC">
        <w:rPr>
          <w:lang w:val="es-ES"/>
        </w:rPr>
        <w:t xml:space="preserve">, </w:t>
      </w:r>
      <w:r w:rsidRPr="00B33BFF">
        <w:rPr>
          <w:b/>
          <w:lang w:val="es-ES"/>
        </w:rPr>
        <w:t xml:space="preserve">la publicación se anticipará al último día de publicación disponible. </w:t>
      </w:r>
    </w:p>
    <w:p w:rsidR="00E36AFC" w:rsidRPr="00B33BFF" w:rsidRDefault="00E36AFC" w:rsidP="00B33BFF">
      <w:pPr>
        <w:pBdr>
          <w:top w:val="single" w:sz="4" w:space="1" w:color="000000"/>
          <w:left w:val="single" w:sz="4" w:space="4" w:color="000000"/>
          <w:bottom w:val="single" w:sz="4" w:space="1" w:color="000000"/>
          <w:right w:val="single" w:sz="4" w:space="4" w:color="000000"/>
        </w:pBdr>
        <w:autoSpaceDE w:val="0"/>
        <w:jc w:val="both"/>
        <w:rPr>
          <w:b/>
          <w:lang w:val="es-ES"/>
        </w:rPr>
      </w:pPr>
    </w:p>
    <w:p w:rsidR="00E36AFC" w:rsidRPr="00E36AFC" w:rsidRDefault="00E36AFC" w:rsidP="00B33BFF">
      <w:pPr>
        <w:pBdr>
          <w:top w:val="single" w:sz="4" w:space="1" w:color="000000"/>
          <w:left w:val="single" w:sz="4" w:space="4" w:color="000000"/>
          <w:bottom w:val="single" w:sz="4" w:space="1" w:color="000000"/>
          <w:right w:val="single" w:sz="4" w:space="4" w:color="000000"/>
        </w:pBdr>
        <w:autoSpaceDE w:val="0"/>
        <w:jc w:val="both"/>
        <w:rPr>
          <w:lang w:val="es-ES"/>
        </w:rPr>
      </w:pPr>
      <w:r w:rsidRPr="00E36AFC">
        <w:rPr>
          <w:lang w:val="es-ES"/>
        </w:rPr>
        <w:t xml:space="preserve">Ejemplos: </w:t>
      </w:r>
    </w:p>
    <w:p w:rsidR="00E36AFC" w:rsidRPr="00E36AFC" w:rsidRDefault="00E36AFC" w:rsidP="00B33BFF">
      <w:pPr>
        <w:pBdr>
          <w:top w:val="single" w:sz="4" w:space="1" w:color="000000"/>
          <w:left w:val="single" w:sz="4" w:space="4" w:color="000000"/>
          <w:bottom w:val="single" w:sz="4" w:space="1" w:color="000000"/>
          <w:right w:val="single" w:sz="4" w:space="4" w:color="000000"/>
        </w:pBdr>
        <w:autoSpaceDE w:val="0"/>
        <w:jc w:val="both"/>
        <w:rPr>
          <w:lang w:val="es-ES"/>
        </w:rPr>
      </w:pPr>
      <w:r w:rsidRPr="00E36AFC">
        <w:rPr>
          <w:lang w:val="es-ES"/>
        </w:rPr>
        <w:t>Si la publicación se envía a través de eNotices el viernes 12/6, la publi</w:t>
      </w:r>
      <w:r>
        <w:rPr>
          <w:lang w:val="es-ES"/>
        </w:rPr>
        <w:t xml:space="preserve">cación tendrá lugar el </w:t>
      </w:r>
      <w:r w:rsidR="00CF403A">
        <w:rPr>
          <w:lang w:val="es-ES"/>
        </w:rPr>
        <w:t>miércoles</w:t>
      </w:r>
      <w:r>
        <w:rPr>
          <w:lang w:val="es-ES"/>
        </w:rPr>
        <w:t xml:space="preserve"> </w:t>
      </w:r>
      <w:r w:rsidRPr="00E36AFC">
        <w:rPr>
          <w:lang w:val="es-ES"/>
        </w:rPr>
        <w:t xml:space="preserve">17/6.  </w:t>
      </w:r>
    </w:p>
    <w:p w:rsidR="00E36AFC" w:rsidRDefault="00E36AFC" w:rsidP="00B33BFF">
      <w:pPr>
        <w:pBdr>
          <w:top w:val="single" w:sz="4" w:space="1" w:color="000000"/>
          <w:left w:val="single" w:sz="4" w:space="4" w:color="000000"/>
          <w:bottom w:val="single" w:sz="4" w:space="1" w:color="000000"/>
          <w:right w:val="single" w:sz="4" w:space="4" w:color="000000"/>
        </w:pBdr>
        <w:autoSpaceDE w:val="0"/>
        <w:jc w:val="both"/>
        <w:rPr>
          <w:lang w:val="es-ES"/>
        </w:rPr>
      </w:pPr>
      <w:r w:rsidRPr="00E36AFC">
        <w:rPr>
          <w:lang w:val="es-ES"/>
        </w:rPr>
        <w:t>Si la publicación se envía a través de eNotices el martes 23/6, la publicación tendrá lugar el viernes 26/6 (el domingo 28 no hay publicaciones)</w:t>
      </w:r>
    </w:p>
    <w:p w:rsidR="00E26CFB" w:rsidRDefault="00E26CFB" w:rsidP="00B33BFF">
      <w:pPr>
        <w:pBdr>
          <w:top w:val="single" w:sz="4" w:space="1" w:color="000000"/>
          <w:left w:val="single" w:sz="4" w:space="4" w:color="000000"/>
          <w:bottom w:val="single" w:sz="4" w:space="1" w:color="000000"/>
          <w:right w:val="single" w:sz="4" w:space="4" w:color="000000"/>
        </w:pBdr>
        <w:autoSpaceDE w:val="0"/>
        <w:jc w:val="both"/>
        <w:rPr>
          <w:lang w:val="es-ES"/>
        </w:rPr>
      </w:pPr>
    </w:p>
    <w:p w:rsidR="00E26CFB" w:rsidRPr="00E26CFB" w:rsidRDefault="00E26CFB" w:rsidP="00B33BFF">
      <w:pPr>
        <w:pBdr>
          <w:top w:val="single" w:sz="4" w:space="1" w:color="000000"/>
          <w:left w:val="single" w:sz="4" w:space="4" w:color="000000"/>
          <w:bottom w:val="single" w:sz="4" w:space="1" w:color="000000"/>
          <w:right w:val="single" w:sz="4" w:space="4" w:color="000000"/>
        </w:pBdr>
        <w:jc w:val="both"/>
        <w:rPr>
          <w:lang w:val="es-ES"/>
        </w:rPr>
      </w:pPr>
    </w:p>
    <w:p w:rsidR="00E26CFB" w:rsidRPr="00E26CFB" w:rsidRDefault="00E26CFB" w:rsidP="00B33BFF">
      <w:pPr>
        <w:jc w:val="both"/>
        <w:rPr>
          <w:lang w:val="es-ES"/>
        </w:rPr>
      </w:pPr>
    </w:p>
    <w:p w:rsidR="00E26CFB" w:rsidRPr="00C5407E" w:rsidRDefault="00E26CFB" w:rsidP="00B33BFF">
      <w:pPr>
        <w:pBdr>
          <w:top w:val="single" w:sz="4" w:space="1" w:color="000000"/>
          <w:left w:val="single" w:sz="4" w:space="3" w:color="000000"/>
          <w:bottom w:val="single" w:sz="4" w:space="1" w:color="000000"/>
          <w:right w:val="single" w:sz="4" w:space="4" w:color="000000"/>
        </w:pBdr>
        <w:shd w:val="clear" w:color="auto" w:fill="D9D9D9"/>
        <w:autoSpaceDE w:val="0"/>
        <w:jc w:val="both"/>
        <w:rPr>
          <w:lang w:val="es-ES" w:eastAsia="en-GB"/>
        </w:rPr>
      </w:pPr>
      <w:r>
        <w:rPr>
          <w:b/>
          <w:color w:val="000000"/>
          <w:lang w:val="es-ES" w:eastAsia="en-GB"/>
        </w:rPr>
        <w:t>Procedimiento para fijar una fecha de publicación especifica</w:t>
      </w:r>
    </w:p>
    <w:p w:rsidR="00E26CFB" w:rsidRPr="00E26CFB" w:rsidRDefault="00E26CFB" w:rsidP="00B33BFF">
      <w:pPr>
        <w:jc w:val="both"/>
        <w:rPr>
          <w:lang w:val="es-ES"/>
        </w:rPr>
      </w:pPr>
    </w:p>
    <w:p w:rsidR="00E26CFB" w:rsidRDefault="00E26CFB" w:rsidP="00B33BFF">
      <w:pPr>
        <w:jc w:val="both"/>
        <w:rPr>
          <w:lang w:val="es-ES"/>
        </w:rPr>
      </w:pPr>
      <w:r w:rsidRPr="00E26CFB">
        <w:rPr>
          <w:lang w:val="es-ES"/>
        </w:rPr>
        <w:t xml:space="preserve">La Oficina de Publicaciones ha concedido a </w:t>
      </w:r>
      <w:r w:rsidR="00E42A9B">
        <w:rPr>
          <w:lang w:val="es-ES"/>
        </w:rPr>
        <w:t xml:space="preserve">INTPA </w:t>
      </w:r>
      <w:r w:rsidRPr="00E26CFB">
        <w:rPr>
          <w:lang w:val="es-ES"/>
        </w:rPr>
        <w:t xml:space="preserve">la posibilidad de fijar una fecha específica de publicación. Esto es especialmente útil cuando se publica en un medio de comunicación local, ya que ha de sincronizarse con la publicación en TED.  </w:t>
      </w:r>
    </w:p>
    <w:p w:rsidR="00E26CFB" w:rsidRPr="00E26CFB" w:rsidRDefault="00E26CFB" w:rsidP="00B33BFF">
      <w:pPr>
        <w:jc w:val="both"/>
        <w:rPr>
          <w:lang w:val="es-ES"/>
        </w:rPr>
      </w:pPr>
    </w:p>
    <w:p w:rsidR="00E26CFB" w:rsidRDefault="00E26CFB" w:rsidP="00B33BFF">
      <w:pPr>
        <w:jc w:val="both"/>
        <w:rPr>
          <w:lang w:val="es-ES"/>
        </w:rPr>
      </w:pPr>
      <w:r w:rsidRPr="00E26CFB">
        <w:rPr>
          <w:lang w:val="es-ES"/>
        </w:rPr>
        <w:t xml:space="preserve">La presentación a través del PPMT/eNotices </w:t>
      </w:r>
      <w:r w:rsidR="008940AA">
        <w:rPr>
          <w:lang w:val="es-ES"/>
        </w:rPr>
        <w:t xml:space="preserve">se hace siguiendo </w:t>
      </w:r>
      <w:r w:rsidRPr="00E26CFB">
        <w:rPr>
          <w:lang w:val="es-ES"/>
        </w:rPr>
        <w:t xml:space="preserve">el procedimiento estándar, una vez recibido el correo electrónico de recepción automática (generalmente en un plazo de 10 minutos, véase el ejemplo que figura a continuación), deberá remitirse a la dirección de correo electrónico </w:t>
      </w:r>
      <w:hyperlink r:id="rId17" w:history="1">
        <w:r w:rsidR="008940AA">
          <w:rPr>
            <w:rStyle w:val="Hyperlink"/>
            <w:lang w:val="es-ES"/>
          </w:rPr>
          <w:t>OP-OJS-COORDINATION@publications.europa.eu</w:t>
        </w:r>
      </w:hyperlink>
      <w:r w:rsidRPr="00E26CFB">
        <w:rPr>
          <w:lang w:val="es-ES"/>
        </w:rPr>
        <w:t xml:space="preserve">, </w:t>
      </w:r>
      <w:r w:rsidR="008940AA">
        <w:rPr>
          <w:lang w:val="es-ES"/>
        </w:rPr>
        <w:t xml:space="preserve">indicando </w:t>
      </w:r>
      <w:r w:rsidRPr="00E26CFB">
        <w:rPr>
          <w:lang w:val="es-ES"/>
        </w:rPr>
        <w:t>l</w:t>
      </w:r>
      <w:r w:rsidR="008940AA">
        <w:rPr>
          <w:lang w:val="es-ES"/>
        </w:rPr>
        <w:t>a nueva fecha solicitada para la</w:t>
      </w:r>
      <w:r w:rsidRPr="00E26CFB">
        <w:rPr>
          <w:lang w:val="es-ES"/>
        </w:rPr>
        <w:t xml:space="preserve"> publicación</w:t>
      </w:r>
      <w:r w:rsidR="008940AA">
        <w:rPr>
          <w:lang w:val="es-ES"/>
        </w:rPr>
        <w:t>.</w:t>
      </w:r>
    </w:p>
    <w:p w:rsidR="00E26CFB" w:rsidRDefault="001F0343" w:rsidP="00B33BFF">
      <w:pPr>
        <w:jc w:val="center"/>
        <w:rPr>
          <w:noProof/>
          <w:lang w:val="en-IE" w:eastAsia="en-IE"/>
        </w:rPr>
      </w:pPr>
      <w:r>
        <w:rPr>
          <w:noProof/>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24.3pt;height:221.55pt;visibility:visible;mso-wrap-style:square">
            <v:imagedata r:id="rId18" o:title=""/>
          </v:shape>
        </w:pict>
      </w:r>
    </w:p>
    <w:p w:rsidR="00E73A67" w:rsidRDefault="00E73A67" w:rsidP="00B33BFF">
      <w:pPr>
        <w:jc w:val="both"/>
        <w:rPr>
          <w:noProof/>
          <w:lang w:val="en-IE" w:eastAsia="en-IE"/>
        </w:rPr>
      </w:pPr>
    </w:p>
    <w:p w:rsidR="00E73A67" w:rsidRDefault="00E73A67" w:rsidP="00B33BFF">
      <w:pPr>
        <w:jc w:val="both"/>
        <w:rPr>
          <w:noProof/>
          <w:lang w:val="es-ES" w:eastAsia="en-IE"/>
        </w:rPr>
      </w:pPr>
      <w:r w:rsidRPr="00B33BFF">
        <w:rPr>
          <w:noProof/>
          <w:lang w:val="es-ES" w:eastAsia="en-IE"/>
        </w:rPr>
        <w:t>Por favor tenga en cuenta</w:t>
      </w:r>
      <w:r>
        <w:rPr>
          <w:noProof/>
          <w:lang w:val="es-ES" w:eastAsia="en-IE"/>
        </w:rPr>
        <w:t xml:space="preserve"> que</w:t>
      </w:r>
      <w:r w:rsidRPr="00B33BFF">
        <w:rPr>
          <w:noProof/>
          <w:lang w:val="es-ES" w:eastAsia="en-IE"/>
        </w:rPr>
        <w:t>:</w:t>
      </w:r>
    </w:p>
    <w:p w:rsidR="00E73A67" w:rsidRPr="00E73A67" w:rsidRDefault="00E73A67" w:rsidP="00B33BFF">
      <w:pPr>
        <w:tabs>
          <w:tab w:val="left" w:pos="426"/>
        </w:tabs>
        <w:jc w:val="both"/>
        <w:rPr>
          <w:lang w:val="es-ES"/>
        </w:rPr>
      </w:pPr>
      <w:r w:rsidRPr="00E73A67">
        <w:rPr>
          <w:lang w:val="es-ES"/>
        </w:rPr>
        <w:t xml:space="preserve">- </w:t>
      </w:r>
      <w:r w:rsidR="001200CF">
        <w:rPr>
          <w:lang w:val="es-ES"/>
        </w:rPr>
        <w:tab/>
      </w:r>
      <w:r w:rsidR="00EF03FB">
        <w:rPr>
          <w:lang w:val="es-ES"/>
        </w:rPr>
        <w:t>E</w:t>
      </w:r>
      <w:r w:rsidRPr="00E73A67">
        <w:rPr>
          <w:lang w:val="es-ES"/>
        </w:rPr>
        <w:t xml:space="preserve">l correo electrónico de recepción automática se envía </w:t>
      </w:r>
      <w:r w:rsidRPr="00B33BFF">
        <w:rPr>
          <w:b/>
          <w:u w:val="single"/>
          <w:lang w:val="es-ES"/>
        </w:rPr>
        <w:t xml:space="preserve">a la dirección de correo electrónico del </w:t>
      </w:r>
      <w:r>
        <w:rPr>
          <w:b/>
          <w:u w:val="single"/>
          <w:lang w:val="es-ES"/>
        </w:rPr>
        <w:t>órgano de contratación</w:t>
      </w:r>
      <w:r w:rsidRPr="00B33BFF">
        <w:rPr>
          <w:b/>
          <w:lang w:val="es-ES"/>
        </w:rPr>
        <w:t xml:space="preserve"> </w:t>
      </w:r>
      <w:r>
        <w:rPr>
          <w:lang w:val="es-ES"/>
        </w:rPr>
        <w:t>indicado</w:t>
      </w:r>
      <w:r w:rsidRPr="00E73A67">
        <w:rPr>
          <w:lang w:val="es-ES"/>
        </w:rPr>
        <w:t xml:space="preserve"> en el punto I.1 del anuncio, no al</w:t>
      </w:r>
      <w:r w:rsidR="001200CF">
        <w:rPr>
          <w:lang w:val="es-ES"/>
        </w:rPr>
        <w:t xml:space="preserve"> del</w:t>
      </w:r>
      <w:r w:rsidRPr="00E73A67">
        <w:rPr>
          <w:lang w:val="es-ES"/>
        </w:rPr>
        <w:t xml:space="preserve"> usuario que envía el documento para su publicación a través </w:t>
      </w:r>
      <w:r w:rsidR="001200CF">
        <w:rPr>
          <w:lang w:val="es-ES"/>
        </w:rPr>
        <w:t>de eNotices.</w:t>
      </w:r>
    </w:p>
    <w:p w:rsidR="00E73A67" w:rsidRPr="00E73A67" w:rsidRDefault="00E73A67" w:rsidP="00B33BFF">
      <w:pPr>
        <w:tabs>
          <w:tab w:val="left" w:pos="426"/>
        </w:tabs>
        <w:jc w:val="both"/>
        <w:rPr>
          <w:lang w:val="es-ES"/>
        </w:rPr>
      </w:pPr>
      <w:r w:rsidRPr="00E73A67">
        <w:rPr>
          <w:lang w:val="es-ES"/>
        </w:rPr>
        <w:t xml:space="preserve">- </w:t>
      </w:r>
      <w:r w:rsidR="001200CF">
        <w:rPr>
          <w:lang w:val="es-ES"/>
        </w:rPr>
        <w:tab/>
      </w:r>
      <w:r w:rsidR="00EF03FB">
        <w:rPr>
          <w:lang w:val="es-ES"/>
        </w:rPr>
        <w:t>L</w:t>
      </w:r>
      <w:r w:rsidRPr="00E73A67">
        <w:rPr>
          <w:lang w:val="es-ES"/>
        </w:rPr>
        <w:t>a nueva fecha debe corresponder a una fecha en la que la publicación tenga lugar (véase el Plan de Producción Anual)</w:t>
      </w:r>
    </w:p>
    <w:p w:rsidR="00E73A67" w:rsidRPr="00E73A67" w:rsidRDefault="00E73A67" w:rsidP="00B33BFF">
      <w:pPr>
        <w:tabs>
          <w:tab w:val="left" w:pos="426"/>
        </w:tabs>
        <w:jc w:val="both"/>
        <w:rPr>
          <w:lang w:val="es-ES"/>
        </w:rPr>
      </w:pPr>
      <w:r w:rsidRPr="00E73A67">
        <w:rPr>
          <w:lang w:val="es-ES"/>
        </w:rPr>
        <w:t xml:space="preserve">- </w:t>
      </w:r>
      <w:r w:rsidR="001200CF">
        <w:rPr>
          <w:lang w:val="es-ES"/>
        </w:rPr>
        <w:tab/>
      </w:r>
      <w:r w:rsidR="00EF03FB">
        <w:rPr>
          <w:lang w:val="es-ES"/>
        </w:rPr>
        <w:t>L</w:t>
      </w:r>
      <w:r w:rsidRPr="00E73A67">
        <w:rPr>
          <w:lang w:val="es-ES"/>
        </w:rPr>
        <w:t>a nueva fecha debe ser siempre posterior a la fecha indicada en el correo electrónico de recepción automática</w:t>
      </w:r>
      <w:r w:rsidR="00EF03FB">
        <w:rPr>
          <w:lang w:val="es-ES"/>
        </w:rPr>
        <w:t>.</w:t>
      </w:r>
    </w:p>
    <w:p w:rsidR="00E73A67" w:rsidRPr="00E73A67" w:rsidRDefault="00E73A67" w:rsidP="00B33BFF">
      <w:pPr>
        <w:tabs>
          <w:tab w:val="left" w:pos="426"/>
        </w:tabs>
        <w:jc w:val="both"/>
        <w:rPr>
          <w:lang w:val="es-ES"/>
        </w:rPr>
      </w:pPr>
      <w:r w:rsidRPr="00E73A67">
        <w:rPr>
          <w:lang w:val="es-ES"/>
        </w:rPr>
        <w:t xml:space="preserve">- </w:t>
      </w:r>
      <w:r w:rsidR="001200CF">
        <w:rPr>
          <w:lang w:val="es-ES"/>
        </w:rPr>
        <w:tab/>
      </w:r>
      <w:r w:rsidR="00EF03FB">
        <w:rPr>
          <w:lang w:val="es-ES"/>
        </w:rPr>
        <w:t>L</w:t>
      </w:r>
      <w:r w:rsidRPr="00E73A67">
        <w:rPr>
          <w:lang w:val="es-ES"/>
        </w:rPr>
        <w:t>a solicitud de una nueva fecha debe enviarse inmediatamente y preferiblemente el mismo día en que se recibe el correo elect</w:t>
      </w:r>
      <w:r w:rsidR="001200CF">
        <w:rPr>
          <w:lang w:val="es-ES"/>
        </w:rPr>
        <w:t xml:space="preserve">rónico de recepción automática. </w:t>
      </w:r>
      <w:r w:rsidRPr="00E73A67">
        <w:rPr>
          <w:lang w:val="es-ES"/>
        </w:rPr>
        <w:t>La Oficina de Publicaciones puede rechazar cualquier solicitud enviada demasiado cerca de la fecha original de publicación.</w:t>
      </w:r>
    </w:p>
    <w:p w:rsidR="00E73A67" w:rsidRPr="00E73A67" w:rsidRDefault="00E73A67" w:rsidP="00B33BFF">
      <w:pPr>
        <w:tabs>
          <w:tab w:val="left" w:pos="378"/>
        </w:tabs>
        <w:jc w:val="both"/>
        <w:rPr>
          <w:lang w:val="es-ES"/>
        </w:rPr>
      </w:pPr>
      <w:r w:rsidRPr="00E73A67">
        <w:rPr>
          <w:lang w:val="es-ES"/>
        </w:rPr>
        <w:t>-</w:t>
      </w:r>
      <w:r w:rsidR="001200CF">
        <w:rPr>
          <w:lang w:val="es-ES"/>
        </w:rPr>
        <w:tab/>
      </w:r>
      <w:r w:rsidR="00EF03FB">
        <w:rPr>
          <w:lang w:val="es-ES"/>
        </w:rPr>
        <w:t xml:space="preserve"> U</w:t>
      </w:r>
      <w:r w:rsidRPr="00E73A67">
        <w:rPr>
          <w:lang w:val="es-ES"/>
        </w:rPr>
        <w:t>na vez que la Oficina de Publicaciones haya aplazado la fecha de publicación, se enviará una nueva notificación automática a la misma dirección de correo electrónico utilizada para la recepción automática, en la que se informará de que la fecha ha sido aplazada.</w:t>
      </w:r>
    </w:p>
    <w:p w:rsidR="00E73A67" w:rsidRPr="00E73A67" w:rsidRDefault="00E73A67" w:rsidP="00B33BFF">
      <w:pPr>
        <w:jc w:val="both"/>
        <w:rPr>
          <w:lang w:val="es-ES"/>
        </w:rPr>
      </w:pPr>
    </w:p>
    <w:p w:rsidR="00DD1D6C" w:rsidRPr="00E26CFB" w:rsidRDefault="00DD1D6C" w:rsidP="00B33BFF">
      <w:pPr>
        <w:jc w:val="both"/>
        <w:rPr>
          <w:lang w:val="es-ES"/>
        </w:rPr>
      </w:pPr>
    </w:p>
    <w:p w:rsidR="00DD1D6C" w:rsidRPr="00C5407E" w:rsidRDefault="00DD1D6C" w:rsidP="00B33BFF">
      <w:pPr>
        <w:pBdr>
          <w:top w:val="single" w:sz="4" w:space="1" w:color="000000"/>
          <w:left w:val="single" w:sz="4" w:space="3" w:color="000000"/>
          <w:bottom w:val="single" w:sz="4" w:space="1" w:color="000000"/>
          <w:right w:val="single" w:sz="4" w:space="4" w:color="000000"/>
        </w:pBdr>
        <w:shd w:val="clear" w:color="auto" w:fill="D9D9D9"/>
        <w:autoSpaceDE w:val="0"/>
        <w:jc w:val="both"/>
        <w:rPr>
          <w:lang w:val="es-ES" w:eastAsia="en-GB"/>
        </w:rPr>
      </w:pPr>
      <w:r>
        <w:rPr>
          <w:b/>
          <w:color w:val="000000"/>
          <w:lang w:val="es-ES" w:eastAsia="en-GB"/>
        </w:rPr>
        <w:t>Procedimiento para la corrección de errores</w:t>
      </w:r>
    </w:p>
    <w:p w:rsidR="00E73A67" w:rsidRDefault="00E73A67" w:rsidP="00B33BFF">
      <w:pPr>
        <w:jc w:val="both"/>
        <w:rPr>
          <w:lang w:val="es-ES"/>
        </w:rPr>
      </w:pPr>
    </w:p>
    <w:p w:rsidR="0058798C" w:rsidRDefault="0058798C" w:rsidP="00B33BFF">
      <w:pPr>
        <w:jc w:val="both"/>
        <w:rPr>
          <w:lang w:val="es-ES"/>
        </w:rPr>
      </w:pPr>
      <w:r w:rsidRPr="0058798C">
        <w:rPr>
          <w:lang w:val="es-ES"/>
        </w:rPr>
        <w:t xml:space="preserve">Una vez </w:t>
      </w:r>
      <w:r>
        <w:rPr>
          <w:lang w:val="es-ES"/>
        </w:rPr>
        <w:t>que se envía</w:t>
      </w:r>
      <w:r w:rsidRPr="0058798C">
        <w:rPr>
          <w:lang w:val="es-ES"/>
        </w:rPr>
        <w:t xml:space="preserve"> el</w:t>
      </w:r>
      <w:r>
        <w:rPr>
          <w:lang w:val="es-ES"/>
        </w:rPr>
        <w:t xml:space="preserve"> anuncio</w:t>
      </w:r>
      <w:r w:rsidRPr="0058798C">
        <w:rPr>
          <w:lang w:val="es-ES"/>
        </w:rPr>
        <w:t xml:space="preserve"> para su publicación y aún no </w:t>
      </w:r>
      <w:r>
        <w:rPr>
          <w:lang w:val="es-ES"/>
        </w:rPr>
        <w:t xml:space="preserve">se ha </w:t>
      </w:r>
      <w:r w:rsidRPr="0058798C">
        <w:rPr>
          <w:lang w:val="es-ES"/>
        </w:rPr>
        <w:t xml:space="preserve">publicado, la Oficina de Publicaciones </w:t>
      </w:r>
      <w:r>
        <w:rPr>
          <w:lang w:val="es-ES"/>
        </w:rPr>
        <w:t>no lo modificar</w:t>
      </w:r>
      <w:r w:rsidRPr="0058798C">
        <w:rPr>
          <w:lang w:val="es-ES"/>
        </w:rPr>
        <w:t xml:space="preserve">á. </w:t>
      </w:r>
    </w:p>
    <w:p w:rsidR="0058798C" w:rsidRPr="0058798C" w:rsidRDefault="0058798C" w:rsidP="00B33BFF">
      <w:pPr>
        <w:jc w:val="both"/>
        <w:rPr>
          <w:lang w:val="es-ES"/>
        </w:rPr>
      </w:pPr>
    </w:p>
    <w:p w:rsidR="0058798C" w:rsidRPr="0058798C" w:rsidRDefault="009476C7" w:rsidP="00B33BFF">
      <w:pPr>
        <w:jc w:val="both"/>
        <w:rPr>
          <w:lang w:val="es-ES"/>
        </w:rPr>
      </w:pPr>
      <w:r>
        <w:rPr>
          <w:lang w:val="es-ES"/>
        </w:rPr>
        <w:t>Hay d</w:t>
      </w:r>
      <w:r w:rsidR="0058798C" w:rsidRPr="0058798C">
        <w:rPr>
          <w:lang w:val="es-ES"/>
        </w:rPr>
        <w:t xml:space="preserve">os opciones: </w:t>
      </w:r>
    </w:p>
    <w:p w:rsidR="00DD1D6C" w:rsidRDefault="0058798C" w:rsidP="00B33BFF">
      <w:pPr>
        <w:numPr>
          <w:ilvl w:val="0"/>
          <w:numId w:val="32"/>
        </w:numPr>
        <w:jc w:val="both"/>
        <w:rPr>
          <w:lang w:val="es-ES"/>
        </w:rPr>
      </w:pPr>
      <w:r w:rsidRPr="0058798C">
        <w:rPr>
          <w:lang w:val="es-ES"/>
        </w:rPr>
        <w:t xml:space="preserve">enviar un correo electrónico a la </w:t>
      </w:r>
      <w:r w:rsidR="009476C7">
        <w:rPr>
          <w:lang w:val="es-ES"/>
        </w:rPr>
        <w:t xml:space="preserve">siguiente </w:t>
      </w:r>
      <w:r w:rsidRPr="0058798C">
        <w:rPr>
          <w:lang w:val="es-ES"/>
        </w:rPr>
        <w:t xml:space="preserve">dirección: </w:t>
      </w:r>
      <w:hyperlink r:id="rId19" w:history="1">
        <w:r w:rsidRPr="0058798C">
          <w:rPr>
            <w:rStyle w:val="Hyperlink"/>
            <w:lang w:val="es-ES"/>
          </w:rPr>
          <w:t>OP-OJS-COORDINATION@publications.europa.eu</w:t>
        </w:r>
      </w:hyperlink>
      <w:r w:rsidRPr="0058798C">
        <w:rPr>
          <w:lang w:val="es-ES"/>
        </w:rPr>
        <w:t>, solicitando la anulación de la publicación del documento y</w:t>
      </w:r>
      <w:r>
        <w:rPr>
          <w:lang w:val="es-ES"/>
        </w:rPr>
        <w:t xml:space="preserve">a presentado (no olvide copiar la referencia de recepción </w:t>
      </w:r>
      <w:r w:rsidR="00EF03FB">
        <w:rPr>
          <w:lang w:val="es-ES"/>
        </w:rPr>
        <w:t>del anuncio ‘‘</w:t>
      </w:r>
      <w:r>
        <w:rPr>
          <w:lang w:val="es-ES"/>
        </w:rPr>
        <w:t>reception id</w:t>
      </w:r>
      <w:r w:rsidR="00EF03FB">
        <w:rPr>
          <w:lang w:val="es-ES"/>
        </w:rPr>
        <w:t>’’</w:t>
      </w:r>
      <w:r w:rsidRPr="0058798C">
        <w:rPr>
          <w:lang w:val="es-ES"/>
        </w:rPr>
        <w:t xml:space="preserve"> para que la Oficina de Publicaciones lo identifique) y envíe el nuevo documento para su publicación vía eNotices. Por supuesto, el plazo para la publicación del nuevo documento dependerá de su fecha de envío, a menos que el usuario solicite aplazar la fecha de publicación.</w:t>
      </w:r>
    </w:p>
    <w:p w:rsidR="009476C7" w:rsidRDefault="009476C7" w:rsidP="00B33BFF">
      <w:pPr>
        <w:ind w:left="720"/>
        <w:jc w:val="both"/>
        <w:rPr>
          <w:lang w:val="es-ES"/>
        </w:rPr>
      </w:pPr>
    </w:p>
    <w:p w:rsidR="009476C7" w:rsidRPr="009476C7" w:rsidRDefault="009476C7" w:rsidP="00B33BFF">
      <w:pPr>
        <w:numPr>
          <w:ilvl w:val="0"/>
          <w:numId w:val="32"/>
        </w:numPr>
        <w:jc w:val="both"/>
        <w:rPr>
          <w:lang w:val="es-ES"/>
        </w:rPr>
      </w:pPr>
      <w:r w:rsidRPr="009476C7">
        <w:rPr>
          <w:lang w:val="es-ES"/>
        </w:rPr>
        <w:t>conservar el documento actual y crear un</w:t>
      </w:r>
      <w:r w:rsidR="00E42A9B">
        <w:rPr>
          <w:lang w:val="es-ES"/>
        </w:rPr>
        <w:t xml:space="preserve"> anuncio de</w:t>
      </w:r>
      <w:r w:rsidRPr="009476C7">
        <w:rPr>
          <w:lang w:val="es-ES"/>
        </w:rPr>
        <w:t xml:space="preserve"> rectificación</w:t>
      </w:r>
      <w:r w:rsidR="00E42A9B">
        <w:rPr>
          <w:lang w:val="es-ES"/>
        </w:rPr>
        <w:t xml:space="preserve"> en eNotices.</w:t>
      </w:r>
      <w:r w:rsidRPr="009476C7">
        <w:rPr>
          <w:lang w:val="es-ES"/>
        </w:rPr>
        <w:t xml:space="preserve"> </w:t>
      </w:r>
      <w:r w:rsidR="00E42A9B">
        <w:rPr>
          <w:lang w:val="es-ES"/>
        </w:rPr>
        <w:t xml:space="preserve">La corrección de </w:t>
      </w:r>
      <w:r w:rsidR="00427CC1">
        <w:rPr>
          <w:lang w:val="es-ES"/>
        </w:rPr>
        <w:t>errores</w:t>
      </w:r>
      <w:r w:rsidR="00E42A9B">
        <w:rPr>
          <w:lang w:val="es-ES"/>
        </w:rPr>
        <w:t xml:space="preserve"> generada (</w:t>
      </w:r>
      <w:r w:rsidRPr="009476C7">
        <w:rPr>
          <w:lang w:val="es-ES"/>
        </w:rPr>
        <w:t>formulario F14</w:t>
      </w:r>
      <w:r>
        <w:rPr>
          <w:rStyle w:val="FootnoteReference"/>
          <w:lang w:val="es-ES"/>
        </w:rPr>
        <w:footnoteReference w:id="4"/>
      </w:r>
      <w:r w:rsidR="00E42A9B">
        <w:rPr>
          <w:lang w:val="es-ES"/>
        </w:rPr>
        <w:t>)</w:t>
      </w:r>
      <w:r w:rsidR="00427CC1">
        <w:rPr>
          <w:lang w:val="es-ES"/>
        </w:rPr>
        <w:t xml:space="preserve"> será vinculada al anuncio de contrato inicial</w:t>
      </w:r>
      <w:r w:rsidRPr="009476C7">
        <w:rPr>
          <w:lang w:val="es-ES"/>
        </w:rPr>
        <w:t xml:space="preserve">. La fecha de publicación de la corrección de errores dependerá de su fecha de envío a la Oficina de Publicaciones. </w:t>
      </w:r>
    </w:p>
    <w:p w:rsidR="009476C7" w:rsidRDefault="009476C7" w:rsidP="00B33BFF">
      <w:pPr>
        <w:ind w:left="360"/>
        <w:jc w:val="both"/>
        <w:rPr>
          <w:lang w:val="es-ES"/>
        </w:rPr>
      </w:pPr>
    </w:p>
    <w:p w:rsidR="009476C7" w:rsidRPr="009476C7" w:rsidRDefault="009476C7" w:rsidP="00B33BFF">
      <w:pPr>
        <w:jc w:val="both"/>
        <w:rPr>
          <w:lang w:val="es-ES"/>
        </w:rPr>
      </w:pPr>
      <w:r w:rsidRPr="009476C7">
        <w:rPr>
          <w:lang w:val="es-ES"/>
        </w:rPr>
        <w:t xml:space="preserve">Si la corrección modifica la fecha de presentación, TED mostrará un mensaje de advertencia sobre este cambio. </w:t>
      </w:r>
    </w:p>
    <w:p w:rsidR="00427CC1" w:rsidRDefault="00427CC1" w:rsidP="00B33BFF">
      <w:pPr>
        <w:jc w:val="both"/>
        <w:rPr>
          <w:lang w:val="es-ES"/>
        </w:rPr>
      </w:pPr>
    </w:p>
    <w:p w:rsidR="009476C7" w:rsidRPr="009476C7" w:rsidRDefault="009476C7" w:rsidP="00B33BFF">
      <w:pPr>
        <w:jc w:val="both"/>
        <w:rPr>
          <w:lang w:val="es-ES"/>
        </w:rPr>
      </w:pPr>
      <w:r w:rsidRPr="009476C7">
        <w:rPr>
          <w:lang w:val="es-ES"/>
        </w:rPr>
        <w:t xml:space="preserve">Una corrección de errores solo puede introducir pequeños cambios, para modificar sustancialmente el documento original. Por ejemplo, el número de lotes no puede modificarse, ni el tipo de procedimiento, ni la adjudicación de un contrato. </w:t>
      </w:r>
    </w:p>
    <w:p w:rsidR="009476C7" w:rsidRDefault="009476C7" w:rsidP="00B33BFF">
      <w:pPr>
        <w:jc w:val="both"/>
        <w:rPr>
          <w:lang w:val="es-ES"/>
        </w:rPr>
      </w:pPr>
    </w:p>
    <w:p w:rsidR="0058798C" w:rsidRDefault="009476C7" w:rsidP="00B33BFF">
      <w:pPr>
        <w:jc w:val="both"/>
        <w:rPr>
          <w:lang w:val="es-ES"/>
        </w:rPr>
      </w:pPr>
      <w:r w:rsidRPr="009476C7">
        <w:rPr>
          <w:lang w:val="es-ES"/>
        </w:rPr>
        <w:t xml:space="preserve">NOTA: No olvide actualizar la fecha de apertura </w:t>
      </w:r>
      <w:r>
        <w:rPr>
          <w:lang w:val="es-ES"/>
        </w:rPr>
        <w:t>cuando se ampl</w:t>
      </w:r>
      <w:r w:rsidRPr="009476C7">
        <w:rPr>
          <w:lang w:val="es-ES"/>
        </w:rPr>
        <w:t>í</w:t>
      </w:r>
      <w:r>
        <w:rPr>
          <w:lang w:val="es-ES"/>
        </w:rPr>
        <w:t xml:space="preserve">e </w:t>
      </w:r>
      <w:r w:rsidRPr="009476C7">
        <w:rPr>
          <w:lang w:val="es-ES"/>
        </w:rPr>
        <w:t>el plazo de presentación en una corrección de errores.</w:t>
      </w:r>
    </w:p>
    <w:p w:rsidR="009476C7" w:rsidRDefault="009476C7" w:rsidP="00B33BFF">
      <w:pPr>
        <w:jc w:val="both"/>
        <w:rPr>
          <w:lang w:val="es-ES"/>
        </w:rPr>
      </w:pPr>
    </w:p>
    <w:p w:rsidR="00427CC1" w:rsidRPr="00C5407E" w:rsidRDefault="00427CC1" w:rsidP="00427CC1">
      <w:pPr>
        <w:pBdr>
          <w:top w:val="single" w:sz="4" w:space="1" w:color="000000"/>
          <w:left w:val="single" w:sz="4" w:space="3" w:color="000000"/>
          <w:bottom w:val="single" w:sz="4" w:space="1" w:color="000000"/>
          <w:right w:val="single" w:sz="4" w:space="4" w:color="000000"/>
        </w:pBdr>
        <w:shd w:val="clear" w:color="auto" w:fill="D9D9D9"/>
        <w:autoSpaceDE w:val="0"/>
        <w:jc w:val="both"/>
        <w:rPr>
          <w:lang w:val="es-ES" w:eastAsia="en-GB"/>
        </w:rPr>
      </w:pPr>
      <w:r>
        <w:rPr>
          <w:b/>
          <w:color w:val="000000"/>
          <w:lang w:val="es-ES" w:eastAsia="en-GB"/>
        </w:rPr>
        <w:t>Procedimiento de cancelación</w:t>
      </w:r>
    </w:p>
    <w:p w:rsidR="00427CC1" w:rsidRDefault="00427CC1" w:rsidP="00B33BFF">
      <w:pPr>
        <w:jc w:val="both"/>
        <w:rPr>
          <w:u w:val="single"/>
          <w:lang w:val="es-ES"/>
        </w:rPr>
      </w:pPr>
    </w:p>
    <w:p w:rsidR="009476C7" w:rsidRPr="009476C7" w:rsidRDefault="009476C7" w:rsidP="00B33BFF">
      <w:pPr>
        <w:jc w:val="both"/>
        <w:rPr>
          <w:lang w:val="es-ES"/>
        </w:rPr>
      </w:pPr>
      <w:r w:rsidRPr="009476C7">
        <w:rPr>
          <w:lang w:val="es-ES"/>
        </w:rPr>
        <w:t xml:space="preserve">En caso de que un procedimiento sea cancelado tras la presentación de solicitudes </w:t>
      </w:r>
      <w:r w:rsidR="00EF03FB" w:rsidRPr="009476C7">
        <w:rPr>
          <w:lang w:val="es-ES"/>
        </w:rPr>
        <w:t>u</w:t>
      </w:r>
      <w:r w:rsidRPr="009476C7">
        <w:rPr>
          <w:lang w:val="es-ES"/>
        </w:rPr>
        <w:t xml:space="preserve"> ofertas, las casillas correspondientes del </w:t>
      </w:r>
      <w:r w:rsidRPr="00B33BFF">
        <w:rPr>
          <w:u w:val="single"/>
          <w:lang w:val="es-ES"/>
        </w:rPr>
        <w:t xml:space="preserve">anuncio de adjudicación del contrato </w:t>
      </w:r>
      <w:r>
        <w:rPr>
          <w:lang w:val="es-ES"/>
        </w:rPr>
        <w:t xml:space="preserve">(Contract award notice </w:t>
      </w:r>
      <w:r w:rsidR="002B4CF8">
        <w:rPr>
          <w:lang w:val="es-ES"/>
        </w:rPr>
        <w:t xml:space="preserve">- </w:t>
      </w:r>
      <w:r>
        <w:rPr>
          <w:lang w:val="es-ES"/>
        </w:rPr>
        <w:t xml:space="preserve">CAN) </w:t>
      </w:r>
      <w:r w:rsidRPr="009476C7">
        <w:rPr>
          <w:lang w:val="es-ES"/>
        </w:rPr>
        <w:t xml:space="preserve">en las que figure la información relativa a la no adjudicación del contrato (cancelación, licitación u oferta </w:t>
      </w:r>
      <w:r>
        <w:rPr>
          <w:lang w:val="es-ES"/>
        </w:rPr>
        <w:t xml:space="preserve">no </w:t>
      </w:r>
      <w:r w:rsidRPr="009476C7">
        <w:rPr>
          <w:lang w:val="es-ES"/>
        </w:rPr>
        <w:t>admisible recibidas) deberán rellenarse en T</w:t>
      </w:r>
      <w:r>
        <w:rPr>
          <w:lang w:val="es-ES"/>
        </w:rPr>
        <w:t>ED</w:t>
      </w:r>
      <w:r w:rsidR="00427CC1">
        <w:rPr>
          <w:lang w:val="es-ES"/>
        </w:rPr>
        <w:t xml:space="preserve"> eNotices</w:t>
      </w:r>
      <w:r>
        <w:rPr>
          <w:lang w:val="es-ES"/>
        </w:rPr>
        <w:t>. No existe un modelo de anuncio</w:t>
      </w:r>
      <w:r w:rsidRPr="009476C7">
        <w:rPr>
          <w:lang w:val="es-ES"/>
        </w:rPr>
        <w:t xml:space="preserve"> de anulación separado en caso de gestión directa. </w:t>
      </w:r>
    </w:p>
    <w:p w:rsidR="009476C7" w:rsidRDefault="009476C7" w:rsidP="00B33BFF">
      <w:pPr>
        <w:jc w:val="both"/>
        <w:rPr>
          <w:lang w:val="es-ES"/>
        </w:rPr>
      </w:pPr>
      <w:r w:rsidRPr="009476C7">
        <w:rPr>
          <w:lang w:val="es-ES"/>
        </w:rPr>
        <w:t xml:space="preserve">En el caso de la gestión indirecta, el órgano de contratación correspondiente enviará a la Delegación de la UE </w:t>
      </w:r>
      <w:r>
        <w:rPr>
          <w:lang w:val="es-ES"/>
        </w:rPr>
        <w:t xml:space="preserve">el anuncio </w:t>
      </w:r>
      <w:r w:rsidRPr="009476C7">
        <w:rPr>
          <w:lang w:val="es-ES"/>
        </w:rPr>
        <w:t>de anulación de la Guía Práctica. La Delegación de la UE anulará el procedimiento a través de las casillas correspondientes del anuncio de adjudicación del contrato en TED</w:t>
      </w:r>
      <w:r w:rsidR="00360823">
        <w:rPr>
          <w:lang w:val="es-ES"/>
        </w:rPr>
        <w:t xml:space="preserve"> eNotices</w:t>
      </w:r>
      <w:r w:rsidRPr="009476C7">
        <w:rPr>
          <w:lang w:val="es-ES"/>
        </w:rPr>
        <w:t>).</w:t>
      </w:r>
    </w:p>
    <w:p w:rsidR="00210356" w:rsidRDefault="00210356" w:rsidP="00B33BFF">
      <w:pPr>
        <w:jc w:val="both"/>
        <w:rPr>
          <w:lang w:val="es-ES"/>
        </w:rPr>
      </w:pPr>
      <w:r>
        <w:rPr>
          <w:lang w:val="es-ES"/>
        </w:rPr>
        <w:t>Después de cancelación en TED eNotices, el procedimiento estará aun abierto en PPMT. Por lo tanto</w:t>
      </w:r>
      <w:r w:rsidR="00BD5DDE">
        <w:rPr>
          <w:lang w:val="es-ES"/>
        </w:rPr>
        <w:t>,</w:t>
      </w:r>
      <w:r>
        <w:rPr>
          <w:lang w:val="es-ES"/>
        </w:rPr>
        <w:t xml:space="preserve"> se recomienda cancelar el procedimiento en PPMT.</w:t>
      </w:r>
    </w:p>
    <w:p w:rsidR="0009185E" w:rsidRDefault="0009185E" w:rsidP="00B33BFF">
      <w:pPr>
        <w:rPr>
          <w:lang w:val="es-ES"/>
        </w:rPr>
      </w:pPr>
    </w:p>
    <w:p w:rsidR="0009185E" w:rsidRPr="00E26CFB" w:rsidRDefault="0009185E" w:rsidP="0009185E">
      <w:pPr>
        <w:rPr>
          <w:lang w:val="es-ES"/>
        </w:rPr>
      </w:pPr>
    </w:p>
    <w:p w:rsidR="0009185E" w:rsidRPr="00B33BFF" w:rsidRDefault="00EF03FB" w:rsidP="0009185E">
      <w:pPr>
        <w:pBdr>
          <w:top w:val="single" w:sz="4" w:space="1" w:color="000000"/>
          <w:left w:val="single" w:sz="4" w:space="3" w:color="000000"/>
          <w:bottom w:val="single" w:sz="4" w:space="1" w:color="000000"/>
          <w:right w:val="single" w:sz="4" w:space="4" w:color="000000"/>
        </w:pBdr>
        <w:shd w:val="clear" w:color="auto" w:fill="D9D9D9"/>
        <w:autoSpaceDE w:val="0"/>
        <w:rPr>
          <w:b/>
          <w:color w:val="000000"/>
          <w:lang w:val="es-ES" w:eastAsia="en-GB"/>
        </w:rPr>
      </w:pPr>
      <w:r>
        <w:rPr>
          <w:b/>
          <w:color w:val="000000"/>
          <w:lang w:val="es-ES" w:eastAsia="en-GB"/>
        </w:rPr>
        <w:t>Únicamente para</w:t>
      </w:r>
      <w:r w:rsidR="0009185E">
        <w:rPr>
          <w:b/>
          <w:color w:val="000000"/>
          <w:lang w:val="es-ES" w:eastAsia="en-GB"/>
        </w:rPr>
        <w:t xml:space="preserve"> </w:t>
      </w:r>
      <w:r>
        <w:rPr>
          <w:b/>
          <w:color w:val="000000"/>
          <w:lang w:val="es-ES" w:eastAsia="en-GB"/>
        </w:rPr>
        <w:t xml:space="preserve">para </w:t>
      </w:r>
      <w:r w:rsidR="0009185E">
        <w:rPr>
          <w:b/>
          <w:color w:val="000000"/>
          <w:lang w:val="es-ES" w:eastAsia="en-GB"/>
        </w:rPr>
        <w:t>gestión indirecta</w:t>
      </w:r>
    </w:p>
    <w:p w:rsidR="0009185E" w:rsidRDefault="0009185E" w:rsidP="00B33BFF">
      <w:pPr>
        <w:rPr>
          <w:lang w:val="es-ES"/>
        </w:rPr>
      </w:pPr>
    </w:p>
    <w:p w:rsidR="0009185E" w:rsidRPr="001F0343" w:rsidRDefault="0009185E" w:rsidP="00B33BFF">
      <w:pPr>
        <w:jc w:val="both"/>
        <w:rPr>
          <w:u w:val="single"/>
          <w:lang w:val="es-ES"/>
        </w:rPr>
      </w:pPr>
      <w:bookmarkStart w:id="0" w:name="_GoBack"/>
      <w:r w:rsidRPr="001F0343">
        <w:rPr>
          <w:u w:val="single"/>
          <w:lang w:val="es-ES"/>
        </w:rPr>
        <w:t xml:space="preserve">El país socio tendrá que completar los formularios correspondientes del PRAG relativos a los anuncios y presentar los documentos requeridos en formato electrónico (15 días antes de la fecha de publicación prevista) a la Delegación de la UE responsable de codificar </w:t>
      </w:r>
      <w:r w:rsidR="00210356" w:rsidRPr="001F0343">
        <w:rPr>
          <w:u w:val="single"/>
          <w:lang w:val="es-ES"/>
        </w:rPr>
        <w:t xml:space="preserve">la licitación </w:t>
      </w:r>
      <w:r w:rsidRPr="001F0343">
        <w:rPr>
          <w:u w:val="single"/>
          <w:lang w:val="es-ES"/>
        </w:rPr>
        <w:t>en PPMT</w:t>
      </w:r>
      <w:r w:rsidR="00BD5DDE" w:rsidRPr="001F0343">
        <w:rPr>
          <w:u w:val="single"/>
          <w:lang w:val="es-ES"/>
        </w:rPr>
        <w:t xml:space="preserve">, </w:t>
      </w:r>
      <w:r w:rsidRPr="001F0343">
        <w:rPr>
          <w:u w:val="single"/>
          <w:lang w:val="es-ES"/>
        </w:rPr>
        <w:t>en TED</w:t>
      </w:r>
      <w:r w:rsidR="00BD5DDE" w:rsidRPr="001F0343">
        <w:rPr>
          <w:u w:val="single"/>
          <w:lang w:val="es-ES"/>
        </w:rPr>
        <w:t xml:space="preserve"> </w:t>
      </w:r>
      <w:r w:rsidRPr="001F0343">
        <w:rPr>
          <w:u w:val="single"/>
          <w:lang w:val="es-ES"/>
        </w:rPr>
        <w:t>eNotices y TED</w:t>
      </w:r>
      <w:r w:rsidR="00BD5DDE" w:rsidRPr="001F0343">
        <w:rPr>
          <w:u w:val="single"/>
          <w:lang w:val="es-ES"/>
        </w:rPr>
        <w:t xml:space="preserve"> </w:t>
      </w:r>
      <w:r w:rsidRPr="001F0343">
        <w:rPr>
          <w:u w:val="single"/>
          <w:lang w:val="es-ES"/>
        </w:rPr>
        <w:t xml:space="preserve">eTendering. </w:t>
      </w:r>
    </w:p>
    <w:bookmarkEnd w:id="0"/>
    <w:p w:rsidR="0009185E" w:rsidRPr="0009185E" w:rsidRDefault="0009185E" w:rsidP="00B33BFF">
      <w:pPr>
        <w:jc w:val="both"/>
        <w:rPr>
          <w:lang w:val="es-ES"/>
        </w:rPr>
      </w:pPr>
      <w:r w:rsidRPr="001F0343">
        <w:rPr>
          <w:lang w:val="es-ES"/>
        </w:rPr>
        <w:t xml:space="preserve">Por ejemplo, en el caso de un anuncio de contrato, el país socio completará el anexo A5e («Anuncio de contrato») y el anexo A5f («Información adicional sobre el anuncio de contrato») </w:t>
      </w:r>
      <w:r w:rsidR="00BD5DDE" w:rsidRPr="001F0343">
        <w:rPr>
          <w:lang w:val="es-ES"/>
        </w:rPr>
        <w:t>y el expediente de licitación</w:t>
      </w:r>
      <w:r w:rsidRPr="001F0343">
        <w:rPr>
          <w:lang w:val="es-ES"/>
        </w:rPr>
        <w:t xml:space="preserve">. El país socio transmitirá estos anexos </w:t>
      </w:r>
      <w:r w:rsidR="00577A9F" w:rsidRPr="001F0343">
        <w:rPr>
          <w:lang w:val="es-ES"/>
        </w:rPr>
        <w:t xml:space="preserve">y e expediente de licitación </w:t>
      </w:r>
      <w:r w:rsidRPr="001F0343">
        <w:rPr>
          <w:lang w:val="es-ES"/>
        </w:rPr>
        <w:t xml:space="preserve">a la Delegación de la UE/Unidad. La Delegación de la UE/Unidad </w:t>
      </w:r>
      <w:r w:rsidR="00BD5DDE" w:rsidRPr="001F0343">
        <w:rPr>
          <w:lang w:val="es-ES"/>
        </w:rPr>
        <w:t>procederá con la publicación a</w:t>
      </w:r>
      <w:r w:rsidR="00BB6168" w:rsidRPr="001F0343">
        <w:rPr>
          <w:lang w:val="es-ES"/>
        </w:rPr>
        <w:t xml:space="preserve"> través</w:t>
      </w:r>
      <w:r w:rsidR="00BD5DDE" w:rsidRPr="001F0343">
        <w:rPr>
          <w:lang w:val="es-ES"/>
        </w:rPr>
        <w:t xml:space="preserve"> de PPMT, TED eNotices (para el anuncio de contrato) y TED eTendering (para el anexo A5f y los documentos relativos al expediente de licitación). </w:t>
      </w:r>
    </w:p>
    <w:p w:rsidR="0009185E" w:rsidRPr="0009185E" w:rsidRDefault="0009185E" w:rsidP="00B33BFF">
      <w:pPr>
        <w:jc w:val="both"/>
        <w:rPr>
          <w:lang w:val="es-ES"/>
        </w:rPr>
      </w:pPr>
    </w:p>
    <w:p w:rsidR="0009185E" w:rsidRPr="00B33BFF" w:rsidRDefault="0009185E" w:rsidP="00B33BFF">
      <w:pPr>
        <w:jc w:val="both"/>
        <w:rPr>
          <w:b/>
          <w:lang w:val="es-ES"/>
        </w:rPr>
      </w:pPr>
      <w:r w:rsidRPr="00B33BFF">
        <w:rPr>
          <w:b/>
          <w:lang w:val="es-ES"/>
        </w:rPr>
        <w:t xml:space="preserve">Todos los formularios de publicación pueden consultarse en la </w:t>
      </w:r>
      <w:hyperlink r:id="rId20" w:history="1">
        <w:r w:rsidRPr="005D0319">
          <w:rPr>
            <w:rStyle w:val="Hyperlink"/>
            <w:b/>
            <w:lang w:val="es-ES"/>
          </w:rPr>
          <w:t>parte A de los anexos al PRAG</w:t>
        </w:r>
      </w:hyperlink>
      <w:r w:rsidRPr="00B33BFF">
        <w:rPr>
          <w:b/>
          <w:lang w:val="es-ES"/>
        </w:rPr>
        <w:t>: Informaci</w:t>
      </w:r>
      <w:r w:rsidR="00CD7070">
        <w:rPr>
          <w:b/>
          <w:lang w:val="es-ES"/>
        </w:rPr>
        <w:t>ón previa, anuncio de contrato</w:t>
      </w:r>
      <w:r w:rsidRPr="00B33BFF">
        <w:rPr>
          <w:b/>
          <w:lang w:val="es-ES"/>
        </w:rPr>
        <w:t>, información adicional sobre el anuncio de contrato, el anuncio de adjudicación de contrato, el anuncio de modificación del contrato, el anuncio de cancelación, la corrección de errores de los documentos enumerados anteriormente.</w:t>
      </w:r>
    </w:p>
    <w:sectPr w:rsidR="0009185E" w:rsidRPr="00B33BFF">
      <w:headerReference w:type="even" r:id="rId21"/>
      <w:headerReference w:type="default" r:id="rId22"/>
      <w:footerReference w:type="even" r:id="rId23"/>
      <w:footerReference w:type="default" r:id="rId24"/>
      <w:headerReference w:type="first" r:id="rId25"/>
      <w:footerReference w:type="first" r:id="rId26"/>
      <w:pgSz w:w="16838" w:h="11906" w:orient="landscape"/>
      <w:pgMar w:top="1134" w:right="1245" w:bottom="851" w:left="284" w:header="601" w:footer="452"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D6C" w:rsidRDefault="00DD1D6C">
      <w:r>
        <w:separator/>
      </w:r>
    </w:p>
  </w:endnote>
  <w:endnote w:type="continuationSeparator" w:id="0">
    <w:p w:rsidR="00DD1D6C" w:rsidRDefault="00DD1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D6C" w:rsidRDefault="00DD1D6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BFF" w:rsidRDefault="00B33BFF">
    <w:pPr>
      <w:pStyle w:val="Footer"/>
      <w:rPr>
        <w:b/>
        <w:sz w:val="20"/>
        <w:szCs w:val="20"/>
        <w:lang w:val="pt-PT"/>
      </w:rPr>
    </w:pPr>
    <w:r w:rsidRPr="00B33BFF">
      <w:rPr>
        <w:b/>
        <w:sz w:val="20"/>
        <w:szCs w:val="20"/>
        <w:lang w:val="pt-PT"/>
      </w:rPr>
      <w:t>Agosto 2020</w:t>
    </w:r>
  </w:p>
  <w:p w:rsidR="00DD1D6C" w:rsidRPr="007C52F7" w:rsidRDefault="00DD1D6C">
    <w:pPr>
      <w:pStyle w:val="Footer"/>
      <w:rPr>
        <w:lang w:val="es-ES_tradnl"/>
      </w:rPr>
    </w:pPr>
    <w:r>
      <w:rPr>
        <w:sz w:val="20"/>
        <w:szCs w:val="20"/>
        <w:lang w:val="es-ES_tradnl"/>
      </w:rPr>
      <w:t>A1</w:t>
    </w:r>
    <w:r w:rsidRPr="007C52F7">
      <w:rPr>
        <w:sz w:val="20"/>
        <w:szCs w:val="20"/>
        <w:lang w:val="es-ES_tradnl"/>
      </w:rPr>
      <w:t>1e_publication_guidelines_en.doc</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D6C" w:rsidRPr="00E1372B" w:rsidRDefault="00B33BFF" w:rsidP="00A4102A">
    <w:pPr>
      <w:pStyle w:val="Footer"/>
      <w:tabs>
        <w:tab w:val="clear" w:pos="4536"/>
        <w:tab w:val="right" w:pos="8460"/>
      </w:tabs>
      <w:spacing w:before="120"/>
      <w:ind w:left="426"/>
      <w:rPr>
        <w:rStyle w:val="PageNumber"/>
        <w:sz w:val="18"/>
        <w:szCs w:val="18"/>
        <w:lang w:val="es-ES"/>
      </w:rPr>
    </w:pPr>
    <w:r w:rsidRPr="00B33BFF">
      <w:rPr>
        <w:b/>
        <w:snapToGrid w:val="0"/>
        <w:sz w:val="18"/>
        <w:szCs w:val="18"/>
        <w:lang w:val="pt-PT"/>
      </w:rPr>
      <w:t>Agosto 2020</w:t>
    </w:r>
    <w:r w:rsidR="00DD1D6C" w:rsidRPr="00E1372B">
      <w:rPr>
        <w:sz w:val="18"/>
        <w:szCs w:val="18"/>
        <w:lang w:val="es-ES"/>
      </w:rPr>
      <w:tab/>
      <w:t xml:space="preserve">Página </w:t>
    </w:r>
    <w:r w:rsidR="00DD1D6C" w:rsidRPr="00450B42">
      <w:rPr>
        <w:rStyle w:val="PageNumber"/>
        <w:sz w:val="18"/>
        <w:szCs w:val="18"/>
      </w:rPr>
      <w:fldChar w:fldCharType="begin"/>
    </w:r>
    <w:r w:rsidR="00DD1D6C" w:rsidRPr="00E1372B">
      <w:rPr>
        <w:rStyle w:val="PageNumber"/>
        <w:sz w:val="18"/>
        <w:szCs w:val="18"/>
        <w:lang w:val="es-ES"/>
      </w:rPr>
      <w:instrText xml:space="preserve"> PAGE </w:instrText>
    </w:r>
    <w:r w:rsidR="00DD1D6C" w:rsidRPr="00450B42">
      <w:rPr>
        <w:rStyle w:val="PageNumber"/>
        <w:sz w:val="18"/>
        <w:szCs w:val="18"/>
      </w:rPr>
      <w:fldChar w:fldCharType="separate"/>
    </w:r>
    <w:r w:rsidR="001F0343">
      <w:rPr>
        <w:rStyle w:val="PageNumber"/>
        <w:noProof/>
        <w:sz w:val="18"/>
        <w:szCs w:val="18"/>
        <w:lang w:val="es-ES"/>
      </w:rPr>
      <w:t>1</w:t>
    </w:r>
    <w:r w:rsidR="00DD1D6C" w:rsidRPr="00450B42">
      <w:rPr>
        <w:rStyle w:val="PageNumber"/>
        <w:sz w:val="18"/>
        <w:szCs w:val="18"/>
      </w:rPr>
      <w:fldChar w:fldCharType="end"/>
    </w:r>
    <w:r w:rsidR="00DD1D6C" w:rsidRPr="00E1372B">
      <w:rPr>
        <w:rStyle w:val="PageNumber"/>
        <w:sz w:val="18"/>
        <w:szCs w:val="18"/>
        <w:lang w:val="es-ES"/>
      </w:rPr>
      <w:t xml:space="preserve"> de </w:t>
    </w:r>
    <w:r w:rsidR="00DD1D6C" w:rsidRPr="00450B42">
      <w:rPr>
        <w:rStyle w:val="PageNumber"/>
        <w:sz w:val="18"/>
        <w:szCs w:val="18"/>
      </w:rPr>
      <w:fldChar w:fldCharType="begin"/>
    </w:r>
    <w:r w:rsidR="00DD1D6C" w:rsidRPr="00E1372B">
      <w:rPr>
        <w:rStyle w:val="PageNumber"/>
        <w:sz w:val="18"/>
        <w:szCs w:val="18"/>
        <w:lang w:val="es-ES"/>
      </w:rPr>
      <w:instrText xml:space="preserve"> NUMPAGES </w:instrText>
    </w:r>
    <w:r w:rsidR="00DD1D6C" w:rsidRPr="00450B42">
      <w:rPr>
        <w:rStyle w:val="PageNumber"/>
        <w:sz w:val="18"/>
        <w:szCs w:val="18"/>
      </w:rPr>
      <w:fldChar w:fldCharType="separate"/>
    </w:r>
    <w:r w:rsidR="001F0343">
      <w:rPr>
        <w:rStyle w:val="PageNumber"/>
        <w:noProof/>
        <w:sz w:val="18"/>
        <w:szCs w:val="18"/>
        <w:lang w:val="es-ES"/>
      </w:rPr>
      <w:t>8</w:t>
    </w:r>
    <w:r w:rsidR="00DD1D6C" w:rsidRPr="00450B42">
      <w:rPr>
        <w:rStyle w:val="PageNumber"/>
        <w:sz w:val="18"/>
        <w:szCs w:val="18"/>
      </w:rPr>
      <w:fldChar w:fldCharType="end"/>
    </w:r>
  </w:p>
  <w:p w:rsidR="00DD1D6C" w:rsidRPr="00E1372B" w:rsidRDefault="00DD1D6C">
    <w:pPr>
      <w:pStyle w:val="Footer"/>
      <w:tabs>
        <w:tab w:val="clear" w:pos="4536"/>
      </w:tabs>
      <w:ind w:left="426"/>
      <w:rPr>
        <w:lang w:val="es-ES"/>
      </w:rPr>
    </w:pPr>
    <w:r w:rsidRPr="00450B42">
      <w:rPr>
        <w:sz w:val="18"/>
        <w:szCs w:val="18"/>
        <w:lang w:val="fr-BE"/>
      </w:rPr>
      <w:fldChar w:fldCharType="begin"/>
    </w:r>
    <w:r w:rsidRPr="00E1372B">
      <w:rPr>
        <w:sz w:val="18"/>
        <w:szCs w:val="18"/>
        <w:lang w:val="es-ES"/>
      </w:rPr>
      <w:instrText xml:space="preserve"> FILENAME </w:instrText>
    </w:r>
    <w:r w:rsidRPr="00450B42">
      <w:rPr>
        <w:sz w:val="18"/>
        <w:szCs w:val="18"/>
        <w:lang w:val="fr-BE"/>
      </w:rPr>
      <w:fldChar w:fldCharType="separate"/>
    </w:r>
    <w:r w:rsidRPr="00E1372B">
      <w:rPr>
        <w:noProof/>
        <w:sz w:val="18"/>
        <w:szCs w:val="18"/>
        <w:lang w:val="es-ES"/>
      </w:rPr>
      <w:t>a11e_publication_guidelines_es.doc</w:t>
    </w:r>
    <w:r w:rsidRPr="00450B4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D6C" w:rsidRDefault="00DD1D6C">
      <w:r>
        <w:separator/>
      </w:r>
    </w:p>
  </w:footnote>
  <w:footnote w:type="continuationSeparator" w:id="0">
    <w:p w:rsidR="00DD1D6C" w:rsidRDefault="00DD1D6C">
      <w:r>
        <w:continuationSeparator/>
      </w:r>
    </w:p>
  </w:footnote>
  <w:footnote w:id="1">
    <w:p w:rsidR="00DD1D6C" w:rsidRPr="00D21D60" w:rsidRDefault="00DD1D6C" w:rsidP="00C40E02">
      <w:pPr>
        <w:pStyle w:val="FootnoteText"/>
        <w:rPr>
          <w:lang w:val="fr-BE"/>
        </w:rPr>
      </w:pPr>
      <w:r>
        <w:rPr>
          <w:rStyle w:val="FootnoteReference"/>
        </w:rPr>
        <w:footnoteRef/>
      </w:r>
      <w:r>
        <w:t xml:space="preserve"> </w:t>
      </w:r>
      <w:hyperlink r:id="rId1" w:history="1">
        <w:r w:rsidRPr="00EC0E08">
          <w:rPr>
            <w:rStyle w:val="Hyperlink"/>
          </w:rPr>
          <w:t>http://ec.europa.eu/europeaid/work/onlineservices/pador/index_en.htm</w:t>
        </w:r>
      </w:hyperlink>
      <w:r>
        <w:t xml:space="preserve"> </w:t>
      </w:r>
    </w:p>
  </w:footnote>
  <w:footnote w:id="2">
    <w:p w:rsidR="00DD1D6C" w:rsidRPr="00D21D60" w:rsidRDefault="00DD1D6C" w:rsidP="00C40E02">
      <w:pPr>
        <w:pStyle w:val="FootnoteText"/>
        <w:rPr>
          <w:lang w:val="fr-BE"/>
        </w:rPr>
      </w:pPr>
      <w:r>
        <w:rPr>
          <w:rStyle w:val="FootnoteReference"/>
        </w:rPr>
        <w:footnoteRef/>
      </w:r>
      <w:r w:rsidRPr="00D21D60">
        <w:rPr>
          <w:lang w:val="fr-BE"/>
        </w:rPr>
        <w:t xml:space="preserve"> </w:t>
      </w:r>
      <w:hyperlink r:id="rId2" w:history="1">
        <w:r w:rsidRPr="00EC0E08">
          <w:rPr>
            <w:rStyle w:val="Hyperlink"/>
            <w:lang w:val="fr-BE"/>
          </w:rPr>
          <w:t>http://ec.europa.eu/europeaid/funding/prospect_en</w:t>
        </w:r>
      </w:hyperlink>
      <w:r>
        <w:rPr>
          <w:lang w:val="fr-BE"/>
        </w:rPr>
        <w:t xml:space="preserve"> </w:t>
      </w:r>
    </w:p>
  </w:footnote>
  <w:footnote w:id="3">
    <w:p w:rsidR="00DD1D6C" w:rsidRPr="00B33BFF" w:rsidRDefault="00DD1D6C">
      <w:pPr>
        <w:pStyle w:val="FootnoteText"/>
        <w:rPr>
          <w:lang w:val="es-ES"/>
        </w:rPr>
      </w:pPr>
      <w:r>
        <w:rPr>
          <w:rStyle w:val="FootnoteReference"/>
        </w:rPr>
        <w:footnoteRef/>
      </w:r>
      <w:r w:rsidRPr="00B33BFF">
        <w:rPr>
          <w:lang w:val="es-ES"/>
        </w:rPr>
        <w:t xml:space="preserve"> Con la </w:t>
      </w:r>
      <w:r w:rsidRPr="00110171">
        <w:rPr>
          <w:lang w:val="es-ES"/>
        </w:rPr>
        <w:t>próxima</w:t>
      </w:r>
      <w:r w:rsidRPr="00B33BFF">
        <w:rPr>
          <w:lang w:val="es-ES"/>
        </w:rPr>
        <w:t xml:space="preserve"> </w:t>
      </w:r>
      <w:r w:rsidRPr="00110171">
        <w:rPr>
          <w:lang w:val="es-ES"/>
        </w:rPr>
        <w:t>versión</w:t>
      </w:r>
      <w:r w:rsidRPr="00B33BFF">
        <w:rPr>
          <w:lang w:val="es-ES"/>
        </w:rPr>
        <w:t xml:space="preserve"> de PROS</w:t>
      </w:r>
      <w:r>
        <w:rPr>
          <w:lang w:val="es-ES"/>
        </w:rPr>
        <w:t>PECT prevista para 202</w:t>
      </w:r>
      <w:r w:rsidR="0059767C">
        <w:rPr>
          <w:lang w:val="es-ES"/>
        </w:rPr>
        <w:t>1</w:t>
      </w:r>
      <w:r>
        <w:rPr>
          <w:lang w:val="es-ES"/>
        </w:rPr>
        <w:t>, las publicaciones de subvenciones se harán en el sitio web ‘‘</w:t>
      </w:r>
      <w:r w:rsidRPr="00B33BFF">
        <w:rPr>
          <w:lang w:val="es-ES"/>
        </w:rPr>
        <w:t>Funding &amp; tender opportunities (F&amp;T Portal)</w:t>
      </w:r>
      <w:r>
        <w:rPr>
          <w:lang w:val="es-ES"/>
        </w:rPr>
        <w:t>’’</w:t>
      </w:r>
    </w:p>
  </w:footnote>
  <w:footnote w:id="4">
    <w:p w:rsidR="009476C7" w:rsidRPr="00B33BFF" w:rsidRDefault="009476C7">
      <w:pPr>
        <w:pStyle w:val="FootnoteText"/>
        <w:rPr>
          <w:lang w:val="es-ES"/>
        </w:rPr>
      </w:pPr>
      <w:r>
        <w:rPr>
          <w:rStyle w:val="FootnoteReference"/>
        </w:rPr>
        <w:footnoteRef/>
      </w:r>
      <w:r w:rsidRPr="00B33BFF">
        <w:rPr>
          <w:lang w:val="es-ES"/>
        </w:rPr>
        <w:t xml:space="preserve"> </w:t>
      </w:r>
      <w:hyperlink r:id="rId3" w:history="1">
        <w:r w:rsidRPr="00B33BFF">
          <w:rPr>
            <w:rStyle w:val="Hyperlink"/>
            <w:lang w:val="es-ES"/>
          </w:rPr>
          <w:t>https://simap.ted.europa.eu/documents/10184/166101/Instructions+for+the+use+of+F14_EN.pdf/909e4b38-1871-49a1-a206-7a5976a2d262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D6C" w:rsidRDefault="00DD1D6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D6C" w:rsidRDefault="001F0343">
    <w:pPr>
      <w:pStyle w:val="Header"/>
      <w:tabs>
        <w:tab w:val="clear" w:pos="4536"/>
      </w:tabs>
    </w:pPr>
    <w:r>
      <w:rPr>
        <w:rFonts w:ascii="Arial" w:hAnsi="Arial" w:cs="Arial"/>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1pt;height:21.6pt" filled="t">
          <v:fill opacity="0" color2="black"/>
          <v:imagedata r:id="rId1" o:titl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D6C" w:rsidRDefault="00DD1D6C">
    <w:pPr>
      <w:pStyle w:val="Header"/>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Symbol" w:hAnsi="Symbol" w:cs="Symbol"/>
        <w:color w:val="0000FF"/>
        <w:lang w:val="en-GB" w:eastAsia="en-GB"/>
      </w:rPr>
    </w:lvl>
    <w:lvl w:ilvl="1">
      <w:start w:val="1"/>
      <w:numFmt w:val="bullet"/>
      <w:lvlText w:val=""/>
      <w:lvlJc w:val="left"/>
      <w:pPr>
        <w:tabs>
          <w:tab w:val="num" w:pos="720"/>
        </w:tabs>
        <w:ind w:left="1440" w:hanging="360"/>
      </w:pPr>
      <w:rPr>
        <w:rFonts w:ascii="Symbol" w:hAnsi="Symbol" w:cs="Symbol"/>
        <w:color w:val="0000FF"/>
        <w:lang w:val="en-GB" w:eastAsia="en-GB"/>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FF"/>
        <w:lang w:val="en-GB" w:eastAsia="en-GB"/>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FF"/>
        <w:lang w:val="en-GB" w:eastAsia="en-GB"/>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Times New Roman" w:hAnsi="Times New Roman" w:cs="Times New Roman"/>
        <w:lang w:val="en-GB" w:eastAsia="en-GB"/>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cs="Times New Roman"/>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lang w:val="en-GB" w:eastAsia="en-GB"/>
      </w:rPr>
    </w:lvl>
  </w:abstractNum>
  <w:abstractNum w:abstractNumId="6"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Symbol" w:hAnsi="Symbol" w:cs="Symbol"/>
        <w:lang w:val="en-GB" w:eastAsia="en-GB"/>
      </w:rPr>
    </w:lvl>
  </w:abstractNum>
  <w:abstractNum w:abstractNumId="7" w15:restartNumberingAfterBreak="0">
    <w:nsid w:val="00000008"/>
    <w:multiLevelType w:val="multilevel"/>
    <w:tmpl w:val="7716219C"/>
    <w:name w:val="WW8Num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720"/>
        </w:tabs>
        <w:ind w:left="1440" w:hanging="360"/>
      </w:pPr>
      <w:rPr>
        <w:rFonts w:ascii="Courier New" w:hAnsi="Courier New" w:cs="Courier New"/>
        <w:color w:val="auto"/>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lang w:val="en-GB" w:eastAsia="en-GB"/>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Times New Roman" w:hAnsi="Times New Roman" w:cs="Times New Roman"/>
      </w:rPr>
    </w:lvl>
  </w:abstractNum>
  <w:abstractNum w:abstractNumId="10" w15:restartNumberingAfterBreak="0">
    <w:nsid w:val="0000000B"/>
    <w:multiLevelType w:val="singleLevel"/>
    <w:tmpl w:val="B79208E4"/>
    <w:name w:val="WW8Num11"/>
    <w:lvl w:ilvl="0">
      <w:start w:val="1"/>
      <w:numFmt w:val="bullet"/>
      <w:lvlText w:val="□"/>
      <w:lvlJc w:val="left"/>
      <w:pPr>
        <w:tabs>
          <w:tab w:val="num" w:pos="720"/>
        </w:tabs>
        <w:ind w:left="720" w:hanging="360"/>
      </w:pPr>
      <w:rPr>
        <w:rFonts w:ascii="Times New Roman" w:hAnsi="Times New Roman" w:cs="Times New Roman"/>
        <w:b/>
        <w:color w:val="auto"/>
        <w:sz w:val="32"/>
        <w:lang w:val="en-GB" w:eastAsia="en-GB"/>
      </w:rPr>
    </w:lvl>
  </w:abstractNum>
  <w:abstractNum w:abstractNumId="11"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Symbol"/>
        <w:lang w:val="en-GB" w:eastAsia="en-GB"/>
      </w:rPr>
    </w:lvl>
    <w:lvl w:ilvl="1">
      <w:start w:val="1"/>
      <w:numFmt w:val="bullet"/>
      <w:lvlText w:val="o"/>
      <w:lvlJc w:val="left"/>
      <w:pPr>
        <w:tabs>
          <w:tab w:val="num" w:pos="1440"/>
        </w:tabs>
        <w:ind w:left="1440" w:hanging="360"/>
      </w:pPr>
      <w:rPr>
        <w:rFonts w:ascii="Courier New" w:hAnsi="Courier New" w:cs="Courier New"/>
        <w:lang w:val="en-GB" w:eastAsia="en-GB"/>
      </w:rPr>
    </w:lvl>
    <w:lvl w:ilvl="2">
      <w:start w:val="1"/>
      <w:numFmt w:val="bullet"/>
      <w:lvlText w:val=""/>
      <w:lvlJc w:val="left"/>
      <w:pPr>
        <w:tabs>
          <w:tab w:val="num" w:pos="2160"/>
        </w:tabs>
        <w:ind w:left="2160" w:hanging="360"/>
      </w:pPr>
      <w:rPr>
        <w:rFonts w:ascii="Symbol" w:hAnsi="Symbol" w:cs="Symbol"/>
        <w:lang w:val="en-GB" w:eastAsia="en-GB"/>
      </w:rPr>
    </w:lvl>
    <w:lvl w:ilvl="3">
      <w:start w:val="1"/>
      <w:numFmt w:val="bullet"/>
      <w:lvlText w:val=""/>
      <w:lvlJc w:val="left"/>
      <w:pPr>
        <w:tabs>
          <w:tab w:val="num" w:pos="2880"/>
        </w:tabs>
        <w:ind w:left="2880" w:hanging="360"/>
      </w:pPr>
      <w:rPr>
        <w:rFonts w:ascii="Symbol" w:hAnsi="Symbol" w:cs="Symbol"/>
        <w:lang w:val="en-GB" w:eastAsia="en-GB"/>
      </w:rPr>
    </w:lvl>
    <w:lvl w:ilvl="4">
      <w:start w:val="1"/>
      <w:numFmt w:val="bullet"/>
      <w:lvlText w:val="o"/>
      <w:lvlJc w:val="left"/>
      <w:pPr>
        <w:tabs>
          <w:tab w:val="num" w:pos="3600"/>
        </w:tabs>
        <w:ind w:left="3600" w:hanging="360"/>
      </w:pPr>
      <w:rPr>
        <w:rFonts w:ascii="Courier New" w:hAnsi="Courier New" w:cs="Courier New"/>
        <w:lang w:val="en-GB" w:eastAsia="en-GB"/>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lang w:val="en-GB" w:eastAsia="en-GB"/>
      </w:rPr>
    </w:lvl>
    <w:lvl w:ilvl="7">
      <w:start w:val="1"/>
      <w:numFmt w:val="bullet"/>
      <w:lvlText w:val="o"/>
      <w:lvlJc w:val="left"/>
      <w:pPr>
        <w:tabs>
          <w:tab w:val="num" w:pos="5760"/>
        </w:tabs>
        <w:ind w:left="5760" w:hanging="360"/>
      </w:pPr>
      <w:rPr>
        <w:rFonts w:ascii="Courier New" w:hAnsi="Courier New" w:cs="Courier New"/>
        <w:lang w:val="en-GB" w:eastAsia="en-GB"/>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D"/>
    <w:multiLevelType w:val="singleLevel"/>
    <w:tmpl w:val="0000000D"/>
    <w:name w:val="WW8Num16"/>
    <w:lvl w:ilvl="0">
      <w:start w:val="1"/>
      <w:numFmt w:val="bullet"/>
      <w:lvlText w:val=""/>
      <w:lvlJc w:val="left"/>
      <w:pPr>
        <w:tabs>
          <w:tab w:val="num" w:pos="0"/>
        </w:tabs>
        <w:ind w:left="720" w:hanging="360"/>
      </w:pPr>
      <w:rPr>
        <w:rFonts w:ascii="Symbol" w:hAnsi="Symbol" w:cs="Symbol"/>
        <w:color w:val="030CBD"/>
        <w:lang w:val="en-GB" w:eastAsia="en-GB"/>
      </w:rPr>
    </w:lvl>
  </w:abstractNum>
  <w:abstractNum w:abstractNumId="13" w15:restartNumberingAfterBreak="0">
    <w:nsid w:val="0000000E"/>
    <w:multiLevelType w:val="singleLevel"/>
    <w:tmpl w:val="0000000E"/>
    <w:name w:val="WW8Num17"/>
    <w:lvl w:ilvl="0">
      <w:start w:val="1"/>
      <w:numFmt w:val="bullet"/>
      <w:lvlText w:val=""/>
      <w:lvlJc w:val="left"/>
      <w:pPr>
        <w:tabs>
          <w:tab w:val="num" w:pos="720"/>
        </w:tabs>
        <w:ind w:left="720" w:hanging="360"/>
      </w:pPr>
      <w:rPr>
        <w:rFonts w:ascii="Symbol" w:hAnsi="Symbol" w:cs="Symbol"/>
        <w:lang w:val="en-GB" w:eastAsia="en-GB"/>
      </w:rPr>
    </w:lvl>
  </w:abstractNum>
  <w:abstractNum w:abstractNumId="14" w15:restartNumberingAfterBreak="0">
    <w:nsid w:val="0000000F"/>
    <w:multiLevelType w:val="singleLevel"/>
    <w:tmpl w:val="0000000F"/>
    <w:name w:val="WW8Num18"/>
    <w:lvl w:ilvl="0">
      <w:start w:val="1"/>
      <w:numFmt w:val="bullet"/>
      <w:lvlText w:val=""/>
      <w:lvlJc w:val="left"/>
      <w:pPr>
        <w:tabs>
          <w:tab w:val="num" w:pos="720"/>
        </w:tabs>
        <w:ind w:left="720" w:hanging="360"/>
      </w:pPr>
      <w:rPr>
        <w:rFonts w:ascii="Symbol" w:hAnsi="Symbol" w:cs="Symbol"/>
        <w:lang w:val="en-GB" w:eastAsia="en-GB"/>
      </w:rPr>
    </w:lvl>
  </w:abstractNum>
  <w:abstractNum w:abstractNumId="15" w15:restartNumberingAfterBreak="0">
    <w:nsid w:val="00000010"/>
    <w:multiLevelType w:val="singleLevel"/>
    <w:tmpl w:val="00000010"/>
    <w:name w:val="WW8Num19"/>
    <w:lvl w:ilvl="0">
      <w:start w:val="1"/>
      <w:numFmt w:val="bullet"/>
      <w:lvlText w:val=""/>
      <w:lvlJc w:val="left"/>
      <w:pPr>
        <w:tabs>
          <w:tab w:val="num" w:pos="720"/>
        </w:tabs>
        <w:ind w:left="720" w:hanging="360"/>
      </w:pPr>
      <w:rPr>
        <w:rFonts w:ascii="Symbol" w:hAnsi="Symbol" w:cs="Symbol"/>
        <w:lang w:val="en-GB" w:eastAsia="en-GB"/>
      </w:rPr>
    </w:lvl>
  </w:abstractNum>
  <w:abstractNum w:abstractNumId="16" w15:restartNumberingAfterBreak="0">
    <w:nsid w:val="00000011"/>
    <w:multiLevelType w:val="singleLevel"/>
    <w:tmpl w:val="00000011"/>
    <w:name w:val="WW8Num21"/>
    <w:lvl w:ilvl="0">
      <w:start w:val="1"/>
      <w:numFmt w:val="bullet"/>
      <w:lvlText w:val="-"/>
      <w:lvlJc w:val="left"/>
      <w:pPr>
        <w:tabs>
          <w:tab w:val="num" w:pos="720"/>
        </w:tabs>
        <w:ind w:left="720" w:hanging="360"/>
      </w:pPr>
      <w:rPr>
        <w:rFonts w:ascii="Times New Roman" w:hAnsi="Times New Roman" w:cs="Times New Roman"/>
        <w:lang w:val="en-GB" w:eastAsia="en-GB"/>
      </w:rPr>
    </w:lvl>
  </w:abstractNum>
  <w:abstractNum w:abstractNumId="17" w15:restartNumberingAfterBreak="0">
    <w:nsid w:val="00000013"/>
    <w:multiLevelType w:val="singleLevel"/>
    <w:tmpl w:val="00000013"/>
    <w:name w:val="WW8Num23"/>
    <w:lvl w:ilvl="0">
      <w:start w:val="1"/>
      <w:numFmt w:val="bullet"/>
      <w:lvlText w:val=""/>
      <w:lvlJc w:val="left"/>
      <w:pPr>
        <w:tabs>
          <w:tab w:val="num" w:pos="720"/>
        </w:tabs>
        <w:ind w:left="720" w:hanging="360"/>
      </w:pPr>
      <w:rPr>
        <w:rFonts w:ascii="Symbol" w:hAnsi="Symbol" w:cs="Symbol"/>
        <w:lang w:val="en-GB" w:eastAsia="en-GB"/>
      </w:rPr>
    </w:lvl>
  </w:abstractNum>
  <w:abstractNum w:abstractNumId="18" w15:restartNumberingAfterBreak="0">
    <w:nsid w:val="00712F81"/>
    <w:multiLevelType w:val="hybridMultilevel"/>
    <w:tmpl w:val="246801E0"/>
    <w:lvl w:ilvl="0" w:tplc="B6C2BA2E">
      <w:start w:val="1"/>
      <w:numFmt w:val="bullet"/>
      <w:lvlText w:val=""/>
      <w:lvlJc w:val="left"/>
      <w:pPr>
        <w:tabs>
          <w:tab w:val="num" w:pos="720"/>
        </w:tabs>
        <w:ind w:left="720" w:hanging="360"/>
      </w:pPr>
      <w:rPr>
        <w:rFonts w:ascii="Symbol" w:hAnsi="Symbol" w:hint="default"/>
      </w:rPr>
    </w:lvl>
    <w:lvl w:ilvl="1" w:tplc="FF3417B8">
      <w:start w:val="1"/>
      <w:numFmt w:val="bullet"/>
      <w:lvlText w:val=""/>
      <w:lvlJc w:val="left"/>
      <w:pPr>
        <w:tabs>
          <w:tab w:val="num" w:pos="1440"/>
        </w:tabs>
        <w:ind w:left="1440" w:hanging="360"/>
      </w:pPr>
      <w:rPr>
        <w:rFonts w:ascii="Symbol" w:hAnsi="Symbol" w:hint="default"/>
      </w:rPr>
    </w:lvl>
    <w:lvl w:ilvl="2" w:tplc="439E8F66" w:tentative="1">
      <w:start w:val="1"/>
      <w:numFmt w:val="bullet"/>
      <w:lvlText w:val=""/>
      <w:lvlJc w:val="left"/>
      <w:pPr>
        <w:tabs>
          <w:tab w:val="num" w:pos="2160"/>
        </w:tabs>
        <w:ind w:left="2160" w:hanging="360"/>
      </w:pPr>
      <w:rPr>
        <w:rFonts w:ascii="Wingdings" w:hAnsi="Wingdings" w:hint="default"/>
      </w:rPr>
    </w:lvl>
    <w:lvl w:ilvl="3" w:tplc="C03EBA9C" w:tentative="1">
      <w:start w:val="1"/>
      <w:numFmt w:val="bullet"/>
      <w:lvlText w:val=""/>
      <w:lvlJc w:val="left"/>
      <w:pPr>
        <w:tabs>
          <w:tab w:val="num" w:pos="2880"/>
        </w:tabs>
        <w:ind w:left="2880" w:hanging="360"/>
      </w:pPr>
      <w:rPr>
        <w:rFonts w:ascii="Symbol" w:hAnsi="Symbol" w:hint="default"/>
      </w:rPr>
    </w:lvl>
    <w:lvl w:ilvl="4" w:tplc="65CEE676" w:tentative="1">
      <w:start w:val="1"/>
      <w:numFmt w:val="bullet"/>
      <w:lvlText w:val="o"/>
      <w:lvlJc w:val="left"/>
      <w:pPr>
        <w:tabs>
          <w:tab w:val="num" w:pos="3600"/>
        </w:tabs>
        <w:ind w:left="3600" w:hanging="360"/>
      </w:pPr>
      <w:rPr>
        <w:rFonts w:ascii="Courier New" w:hAnsi="Courier New" w:hint="default"/>
      </w:rPr>
    </w:lvl>
    <w:lvl w:ilvl="5" w:tplc="DECE2D82" w:tentative="1">
      <w:start w:val="1"/>
      <w:numFmt w:val="bullet"/>
      <w:lvlText w:val=""/>
      <w:lvlJc w:val="left"/>
      <w:pPr>
        <w:tabs>
          <w:tab w:val="num" w:pos="4320"/>
        </w:tabs>
        <w:ind w:left="4320" w:hanging="360"/>
      </w:pPr>
      <w:rPr>
        <w:rFonts w:ascii="Wingdings" w:hAnsi="Wingdings" w:hint="default"/>
      </w:rPr>
    </w:lvl>
    <w:lvl w:ilvl="6" w:tplc="4D4243E2" w:tentative="1">
      <w:start w:val="1"/>
      <w:numFmt w:val="bullet"/>
      <w:lvlText w:val=""/>
      <w:lvlJc w:val="left"/>
      <w:pPr>
        <w:tabs>
          <w:tab w:val="num" w:pos="5040"/>
        </w:tabs>
        <w:ind w:left="5040" w:hanging="360"/>
      </w:pPr>
      <w:rPr>
        <w:rFonts w:ascii="Symbol" w:hAnsi="Symbol" w:hint="default"/>
      </w:rPr>
    </w:lvl>
    <w:lvl w:ilvl="7" w:tplc="9E1078E4" w:tentative="1">
      <w:start w:val="1"/>
      <w:numFmt w:val="bullet"/>
      <w:lvlText w:val="o"/>
      <w:lvlJc w:val="left"/>
      <w:pPr>
        <w:tabs>
          <w:tab w:val="num" w:pos="5760"/>
        </w:tabs>
        <w:ind w:left="5760" w:hanging="360"/>
      </w:pPr>
      <w:rPr>
        <w:rFonts w:ascii="Courier New" w:hAnsi="Courier New" w:hint="default"/>
      </w:rPr>
    </w:lvl>
    <w:lvl w:ilvl="8" w:tplc="5584034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9580465"/>
    <w:multiLevelType w:val="hybridMultilevel"/>
    <w:tmpl w:val="DCAE7D24"/>
    <w:lvl w:ilvl="0" w:tplc="ECBEC6B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1B860B8A"/>
    <w:multiLevelType w:val="hybridMultilevel"/>
    <w:tmpl w:val="C8D66CCC"/>
    <w:lvl w:ilvl="0" w:tplc="08090003">
      <w:start w:val="1"/>
      <w:numFmt w:val="bullet"/>
      <w:lvlText w:val="o"/>
      <w:lvlJc w:val="left"/>
      <w:pPr>
        <w:ind w:left="840" w:hanging="360"/>
      </w:pPr>
      <w:rPr>
        <w:rFonts w:ascii="Courier New" w:hAnsi="Courier New" w:cs="Courier New" w:hint="default"/>
      </w:rPr>
    </w:lvl>
    <w:lvl w:ilvl="1" w:tplc="18090003" w:tentative="1">
      <w:start w:val="1"/>
      <w:numFmt w:val="bullet"/>
      <w:lvlText w:val="o"/>
      <w:lvlJc w:val="left"/>
      <w:pPr>
        <w:ind w:left="1560" w:hanging="360"/>
      </w:pPr>
      <w:rPr>
        <w:rFonts w:ascii="Courier New" w:hAnsi="Courier New" w:cs="Courier New" w:hint="default"/>
      </w:rPr>
    </w:lvl>
    <w:lvl w:ilvl="2" w:tplc="18090005" w:tentative="1">
      <w:start w:val="1"/>
      <w:numFmt w:val="bullet"/>
      <w:lvlText w:val=""/>
      <w:lvlJc w:val="left"/>
      <w:pPr>
        <w:ind w:left="2280" w:hanging="360"/>
      </w:pPr>
      <w:rPr>
        <w:rFonts w:ascii="Wingdings" w:hAnsi="Wingdings" w:hint="default"/>
      </w:rPr>
    </w:lvl>
    <w:lvl w:ilvl="3" w:tplc="18090001" w:tentative="1">
      <w:start w:val="1"/>
      <w:numFmt w:val="bullet"/>
      <w:lvlText w:val=""/>
      <w:lvlJc w:val="left"/>
      <w:pPr>
        <w:ind w:left="3000" w:hanging="360"/>
      </w:pPr>
      <w:rPr>
        <w:rFonts w:ascii="Symbol" w:hAnsi="Symbol" w:hint="default"/>
      </w:rPr>
    </w:lvl>
    <w:lvl w:ilvl="4" w:tplc="18090003" w:tentative="1">
      <w:start w:val="1"/>
      <w:numFmt w:val="bullet"/>
      <w:lvlText w:val="o"/>
      <w:lvlJc w:val="left"/>
      <w:pPr>
        <w:ind w:left="3720" w:hanging="360"/>
      </w:pPr>
      <w:rPr>
        <w:rFonts w:ascii="Courier New" w:hAnsi="Courier New" w:cs="Courier New" w:hint="default"/>
      </w:rPr>
    </w:lvl>
    <w:lvl w:ilvl="5" w:tplc="18090005" w:tentative="1">
      <w:start w:val="1"/>
      <w:numFmt w:val="bullet"/>
      <w:lvlText w:val=""/>
      <w:lvlJc w:val="left"/>
      <w:pPr>
        <w:ind w:left="4440" w:hanging="360"/>
      </w:pPr>
      <w:rPr>
        <w:rFonts w:ascii="Wingdings" w:hAnsi="Wingdings" w:hint="default"/>
      </w:rPr>
    </w:lvl>
    <w:lvl w:ilvl="6" w:tplc="18090001" w:tentative="1">
      <w:start w:val="1"/>
      <w:numFmt w:val="bullet"/>
      <w:lvlText w:val=""/>
      <w:lvlJc w:val="left"/>
      <w:pPr>
        <w:ind w:left="5160" w:hanging="360"/>
      </w:pPr>
      <w:rPr>
        <w:rFonts w:ascii="Symbol" w:hAnsi="Symbol" w:hint="default"/>
      </w:rPr>
    </w:lvl>
    <w:lvl w:ilvl="7" w:tplc="18090003" w:tentative="1">
      <w:start w:val="1"/>
      <w:numFmt w:val="bullet"/>
      <w:lvlText w:val="o"/>
      <w:lvlJc w:val="left"/>
      <w:pPr>
        <w:ind w:left="5880" w:hanging="360"/>
      </w:pPr>
      <w:rPr>
        <w:rFonts w:ascii="Courier New" w:hAnsi="Courier New" w:cs="Courier New" w:hint="default"/>
      </w:rPr>
    </w:lvl>
    <w:lvl w:ilvl="8" w:tplc="18090005" w:tentative="1">
      <w:start w:val="1"/>
      <w:numFmt w:val="bullet"/>
      <w:lvlText w:val=""/>
      <w:lvlJc w:val="left"/>
      <w:pPr>
        <w:ind w:left="6600" w:hanging="360"/>
      </w:pPr>
      <w:rPr>
        <w:rFonts w:ascii="Wingdings" w:hAnsi="Wingdings" w:hint="default"/>
      </w:rPr>
    </w:lvl>
  </w:abstractNum>
  <w:abstractNum w:abstractNumId="21" w15:restartNumberingAfterBreak="0">
    <w:nsid w:val="204A6917"/>
    <w:multiLevelType w:val="hybridMultilevel"/>
    <w:tmpl w:val="DEA6297A"/>
    <w:lvl w:ilvl="0" w:tplc="FBE62C02">
      <w:start w:val="1"/>
      <w:numFmt w:val="bullet"/>
      <w:lvlText w:val=""/>
      <w:lvlJc w:val="left"/>
      <w:pPr>
        <w:ind w:left="788" w:hanging="360"/>
      </w:pPr>
      <w:rPr>
        <w:rFonts w:ascii="Symbol" w:hAnsi="Symbol" w:hint="default"/>
      </w:rPr>
    </w:lvl>
    <w:lvl w:ilvl="1" w:tplc="18090003" w:tentative="1">
      <w:start w:val="1"/>
      <w:numFmt w:val="bullet"/>
      <w:lvlText w:val="o"/>
      <w:lvlJc w:val="left"/>
      <w:pPr>
        <w:ind w:left="1508" w:hanging="360"/>
      </w:pPr>
      <w:rPr>
        <w:rFonts w:ascii="Courier New" w:hAnsi="Courier New" w:cs="Courier New" w:hint="default"/>
      </w:rPr>
    </w:lvl>
    <w:lvl w:ilvl="2" w:tplc="18090005" w:tentative="1">
      <w:start w:val="1"/>
      <w:numFmt w:val="bullet"/>
      <w:lvlText w:val=""/>
      <w:lvlJc w:val="left"/>
      <w:pPr>
        <w:ind w:left="2228" w:hanging="360"/>
      </w:pPr>
      <w:rPr>
        <w:rFonts w:ascii="Wingdings" w:hAnsi="Wingdings" w:hint="default"/>
      </w:rPr>
    </w:lvl>
    <w:lvl w:ilvl="3" w:tplc="18090001" w:tentative="1">
      <w:start w:val="1"/>
      <w:numFmt w:val="bullet"/>
      <w:lvlText w:val=""/>
      <w:lvlJc w:val="left"/>
      <w:pPr>
        <w:ind w:left="2948" w:hanging="360"/>
      </w:pPr>
      <w:rPr>
        <w:rFonts w:ascii="Symbol" w:hAnsi="Symbol" w:hint="default"/>
      </w:rPr>
    </w:lvl>
    <w:lvl w:ilvl="4" w:tplc="18090003" w:tentative="1">
      <w:start w:val="1"/>
      <w:numFmt w:val="bullet"/>
      <w:lvlText w:val="o"/>
      <w:lvlJc w:val="left"/>
      <w:pPr>
        <w:ind w:left="3668" w:hanging="360"/>
      </w:pPr>
      <w:rPr>
        <w:rFonts w:ascii="Courier New" w:hAnsi="Courier New" w:cs="Courier New" w:hint="default"/>
      </w:rPr>
    </w:lvl>
    <w:lvl w:ilvl="5" w:tplc="18090005" w:tentative="1">
      <w:start w:val="1"/>
      <w:numFmt w:val="bullet"/>
      <w:lvlText w:val=""/>
      <w:lvlJc w:val="left"/>
      <w:pPr>
        <w:ind w:left="4388" w:hanging="360"/>
      </w:pPr>
      <w:rPr>
        <w:rFonts w:ascii="Wingdings" w:hAnsi="Wingdings" w:hint="default"/>
      </w:rPr>
    </w:lvl>
    <w:lvl w:ilvl="6" w:tplc="18090001" w:tentative="1">
      <w:start w:val="1"/>
      <w:numFmt w:val="bullet"/>
      <w:lvlText w:val=""/>
      <w:lvlJc w:val="left"/>
      <w:pPr>
        <w:ind w:left="5108" w:hanging="360"/>
      </w:pPr>
      <w:rPr>
        <w:rFonts w:ascii="Symbol" w:hAnsi="Symbol" w:hint="default"/>
      </w:rPr>
    </w:lvl>
    <w:lvl w:ilvl="7" w:tplc="18090003" w:tentative="1">
      <w:start w:val="1"/>
      <w:numFmt w:val="bullet"/>
      <w:lvlText w:val="o"/>
      <w:lvlJc w:val="left"/>
      <w:pPr>
        <w:ind w:left="5828" w:hanging="360"/>
      </w:pPr>
      <w:rPr>
        <w:rFonts w:ascii="Courier New" w:hAnsi="Courier New" w:cs="Courier New" w:hint="default"/>
      </w:rPr>
    </w:lvl>
    <w:lvl w:ilvl="8" w:tplc="18090005" w:tentative="1">
      <w:start w:val="1"/>
      <w:numFmt w:val="bullet"/>
      <w:lvlText w:val=""/>
      <w:lvlJc w:val="left"/>
      <w:pPr>
        <w:ind w:left="6548" w:hanging="360"/>
      </w:pPr>
      <w:rPr>
        <w:rFonts w:ascii="Wingdings" w:hAnsi="Wingdings" w:hint="default"/>
      </w:rPr>
    </w:lvl>
  </w:abstractNum>
  <w:abstractNum w:abstractNumId="22" w15:restartNumberingAfterBreak="0">
    <w:nsid w:val="24D8262B"/>
    <w:multiLevelType w:val="hybridMultilevel"/>
    <w:tmpl w:val="B500760E"/>
    <w:lvl w:ilvl="0" w:tplc="08090001">
      <w:start w:val="1"/>
      <w:numFmt w:val="bullet"/>
      <w:lvlText w:val=""/>
      <w:lvlJc w:val="left"/>
      <w:pPr>
        <w:tabs>
          <w:tab w:val="num" w:pos="360"/>
        </w:tabs>
        <w:ind w:left="360" w:hanging="360"/>
      </w:pPr>
      <w:rPr>
        <w:rFonts w:ascii="Symbol" w:hAnsi="Symbol" w:hint="default"/>
      </w:rPr>
    </w:lvl>
    <w:lvl w:ilvl="1" w:tplc="FBE62C02"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5171C47"/>
    <w:multiLevelType w:val="hybridMultilevel"/>
    <w:tmpl w:val="32680672"/>
    <w:lvl w:ilvl="0" w:tplc="08090005">
      <w:start w:val="1"/>
      <w:numFmt w:val="bullet"/>
      <w:lvlText w:val=""/>
      <w:lvlJc w:val="left"/>
      <w:pPr>
        <w:tabs>
          <w:tab w:val="num" w:pos="720"/>
        </w:tabs>
        <w:ind w:left="720" w:hanging="360"/>
      </w:pPr>
      <w:rPr>
        <w:rFonts w:ascii="Symbol" w:hAnsi="Symbol" w:cs="Symbol" w:hint="default"/>
        <w:lang w:val="en-GB" w:eastAsia="en-GB"/>
      </w:rPr>
    </w:lvl>
    <w:lvl w:ilvl="1" w:tplc="08090003">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390FE2"/>
    <w:multiLevelType w:val="hybridMultilevel"/>
    <w:tmpl w:val="A52E5368"/>
    <w:lvl w:ilvl="0" w:tplc="00000006">
      <w:numFmt w:val="bullet"/>
      <w:lvlText w:val="-"/>
      <w:lvlJc w:val="left"/>
      <w:pPr>
        <w:ind w:left="720" w:hanging="360"/>
      </w:pPr>
      <w:rPr>
        <w:rFonts w:ascii="Times New Roman" w:eastAsia="Times New Roman" w:hAnsi="Times New Roman" w:cs="Times New Roman" w:hint="default"/>
      </w:rPr>
    </w:lvl>
    <w:lvl w:ilvl="1" w:tplc="FBE62C02"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64B24B7"/>
    <w:multiLevelType w:val="hybridMultilevel"/>
    <w:tmpl w:val="7CB0FB00"/>
    <w:lvl w:ilvl="0" w:tplc="C3D2D36E">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98D0A0F"/>
    <w:multiLevelType w:val="hybridMultilevel"/>
    <w:tmpl w:val="1E389A2A"/>
    <w:lvl w:ilvl="0" w:tplc="FBE62C02">
      <w:start w:val="1"/>
      <w:numFmt w:val="bullet"/>
      <w:lvlText w:val=""/>
      <w:lvlJc w:val="left"/>
      <w:pPr>
        <w:ind w:left="788" w:hanging="360"/>
      </w:pPr>
      <w:rPr>
        <w:rFonts w:ascii="Symbol" w:hAnsi="Symbol" w:hint="default"/>
      </w:rPr>
    </w:lvl>
    <w:lvl w:ilvl="1" w:tplc="18090003" w:tentative="1">
      <w:start w:val="1"/>
      <w:numFmt w:val="bullet"/>
      <w:lvlText w:val="o"/>
      <w:lvlJc w:val="left"/>
      <w:pPr>
        <w:ind w:left="1508" w:hanging="360"/>
      </w:pPr>
      <w:rPr>
        <w:rFonts w:ascii="Courier New" w:hAnsi="Courier New" w:cs="Courier New" w:hint="default"/>
      </w:rPr>
    </w:lvl>
    <w:lvl w:ilvl="2" w:tplc="18090005" w:tentative="1">
      <w:start w:val="1"/>
      <w:numFmt w:val="bullet"/>
      <w:lvlText w:val=""/>
      <w:lvlJc w:val="left"/>
      <w:pPr>
        <w:ind w:left="2228" w:hanging="360"/>
      </w:pPr>
      <w:rPr>
        <w:rFonts w:ascii="Wingdings" w:hAnsi="Wingdings" w:hint="default"/>
      </w:rPr>
    </w:lvl>
    <w:lvl w:ilvl="3" w:tplc="18090001" w:tentative="1">
      <w:start w:val="1"/>
      <w:numFmt w:val="bullet"/>
      <w:lvlText w:val=""/>
      <w:lvlJc w:val="left"/>
      <w:pPr>
        <w:ind w:left="2948" w:hanging="360"/>
      </w:pPr>
      <w:rPr>
        <w:rFonts w:ascii="Symbol" w:hAnsi="Symbol" w:hint="default"/>
      </w:rPr>
    </w:lvl>
    <w:lvl w:ilvl="4" w:tplc="18090003" w:tentative="1">
      <w:start w:val="1"/>
      <w:numFmt w:val="bullet"/>
      <w:lvlText w:val="o"/>
      <w:lvlJc w:val="left"/>
      <w:pPr>
        <w:ind w:left="3668" w:hanging="360"/>
      </w:pPr>
      <w:rPr>
        <w:rFonts w:ascii="Courier New" w:hAnsi="Courier New" w:cs="Courier New" w:hint="default"/>
      </w:rPr>
    </w:lvl>
    <w:lvl w:ilvl="5" w:tplc="18090005" w:tentative="1">
      <w:start w:val="1"/>
      <w:numFmt w:val="bullet"/>
      <w:lvlText w:val=""/>
      <w:lvlJc w:val="left"/>
      <w:pPr>
        <w:ind w:left="4388" w:hanging="360"/>
      </w:pPr>
      <w:rPr>
        <w:rFonts w:ascii="Wingdings" w:hAnsi="Wingdings" w:hint="default"/>
      </w:rPr>
    </w:lvl>
    <w:lvl w:ilvl="6" w:tplc="18090001" w:tentative="1">
      <w:start w:val="1"/>
      <w:numFmt w:val="bullet"/>
      <w:lvlText w:val=""/>
      <w:lvlJc w:val="left"/>
      <w:pPr>
        <w:ind w:left="5108" w:hanging="360"/>
      </w:pPr>
      <w:rPr>
        <w:rFonts w:ascii="Symbol" w:hAnsi="Symbol" w:hint="default"/>
      </w:rPr>
    </w:lvl>
    <w:lvl w:ilvl="7" w:tplc="18090003" w:tentative="1">
      <w:start w:val="1"/>
      <w:numFmt w:val="bullet"/>
      <w:lvlText w:val="o"/>
      <w:lvlJc w:val="left"/>
      <w:pPr>
        <w:ind w:left="5828" w:hanging="360"/>
      </w:pPr>
      <w:rPr>
        <w:rFonts w:ascii="Courier New" w:hAnsi="Courier New" w:cs="Courier New" w:hint="default"/>
      </w:rPr>
    </w:lvl>
    <w:lvl w:ilvl="8" w:tplc="18090005" w:tentative="1">
      <w:start w:val="1"/>
      <w:numFmt w:val="bullet"/>
      <w:lvlText w:val=""/>
      <w:lvlJc w:val="left"/>
      <w:pPr>
        <w:ind w:left="6548" w:hanging="360"/>
      </w:pPr>
      <w:rPr>
        <w:rFonts w:ascii="Wingdings" w:hAnsi="Wingdings" w:hint="default"/>
      </w:rPr>
    </w:lvl>
  </w:abstractNum>
  <w:abstractNum w:abstractNumId="27" w15:restartNumberingAfterBreak="0">
    <w:nsid w:val="3CBB158C"/>
    <w:multiLevelType w:val="hybridMultilevel"/>
    <w:tmpl w:val="1400805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B170B412">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1555E9"/>
    <w:multiLevelType w:val="hybridMultilevel"/>
    <w:tmpl w:val="55D654A0"/>
    <w:lvl w:ilvl="0" w:tplc="08090005">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230DEE"/>
    <w:multiLevelType w:val="multilevel"/>
    <w:tmpl w:val="A0126EFA"/>
    <w:name w:val="WW8Num22"/>
    <w:lvl w:ilvl="0">
      <w:start w:val="1"/>
      <w:numFmt w:val="bullet"/>
      <w:lvlText w:val="-"/>
      <w:lvlJc w:val="left"/>
      <w:pPr>
        <w:ind w:left="360" w:hanging="360"/>
      </w:pPr>
      <w:rPr>
        <w:rFonts w:ascii="Times New Roman" w:hAnsi="Times New Roman" w:cs="Times New Roman" w:hint="default"/>
        <w:lang w:val="en-GB" w:eastAsia="en-GB"/>
      </w:rPr>
    </w:lvl>
    <w:lvl w:ilvl="1">
      <w:start w:val="1"/>
      <w:numFmt w:val="bullet"/>
      <w:lvlText w:val="○"/>
      <w:lvlJc w:val="left"/>
      <w:pPr>
        <w:ind w:left="720" w:hanging="360"/>
      </w:pPr>
      <w:rPr>
        <w:rFonts w:ascii="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BB54655"/>
    <w:multiLevelType w:val="hybridMultilevel"/>
    <w:tmpl w:val="E63E70C0"/>
    <w:lvl w:ilvl="0" w:tplc="FBE62C02">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6D326648"/>
    <w:multiLevelType w:val="hybridMultilevel"/>
    <w:tmpl w:val="432C4A48"/>
    <w:lvl w:ilvl="0" w:tplc="0E3693EA">
      <w:start w:val="1"/>
      <w:numFmt w:val="bullet"/>
      <w:lvlText w:val=""/>
      <w:lvlJc w:val="left"/>
      <w:pPr>
        <w:ind w:left="720" w:hanging="360"/>
      </w:pPr>
      <w:rPr>
        <w:rFonts w:ascii="Symbol" w:hAnsi="Symbol" w:hint="default"/>
      </w:rPr>
    </w:lvl>
    <w:lvl w:ilvl="1" w:tplc="1B68C064" w:tentative="1">
      <w:start w:val="1"/>
      <w:numFmt w:val="bullet"/>
      <w:lvlText w:val="o"/>
      <w:lvlJc w:val="left"/>
      <w:pPr>
        <w:ind w:left="1440" w:hanging="360"/>
      </w:pPr>
      <w:rPr>
        <w:rFonts w:ascii="Courier New" w:hAnsi="Courier New" w:cs="Courier New" w:hint="default"/>
      </w:rPr>
    </w:lvl>
    <w:lvl w:ilvl="2" w:tplc="7658887C" w:tentative="1">
      <w:start w:val="1"/>
      <w:numFmt w:val="bullet"/>
      <w:lvlText w:val=""/>
      <w:lvlJc w:val="left"/>
      <w:pPr>
        <w:ind w:left="2160" w:hanging="360"/>
      </w:pPr>
      <w:rPr>
        <w:rFonts w:ascii="Wingdings" w:hAnsi="Wingdings" w:hint="default"/>
      </w:rPr>
    </w:lvl>
    <w:lvl w:ilvl="3" w:tplc="813C4F70" w:tentative="1">
      <w:start w:val="1"/>
      <w:numFmt w:val="bullet"/>
      <w:lvlText w:val=""/>
      <w:lvlJc w:val="left"/>
      <w:pPr>
        <w:ind w:left="2880" w:hanging="360"/>
      </w:pPr>
      <w:rPr>
        <w:rFonts w:ascii="Symbol" w:hAnsi="Symbol" w:hint="default"/>
      </w:rPr>
    </w:lvl>
    <w:lvl w:ilvl="4" w:tplc="FF18E74A" w:tentative="1">
      <w:start w:val="1"/>
      <w:numFmt w:val="bullet"/>
      <w:lvlText w:val="o"/>
      <w:lvlJc w:val="left"/>
      <w:pPr>
        <w:ind w:left="3600" w:hanging="360"/>
      </w:pPr>
      <w:rPr>
        <w:rFonts w:ascii="Courier New" w:hAnsi="Courier New" w:cs="Courier New" w:hint="default"/>
      </w:rPr>
    </w:lvl>
    <w:lvl w:ilvl="5" w:tplc="8E082DF2" w:tentative="1">
      <w:start w:val="1"/>
      <w:numFmt w:val="bullet"/>
      <w:lvlText w:val=""/>
      <w:lvlJc w:val="left"/>
      <w:pPr>
        <w:ind w:left="4320" w:hanging="360"/>
      </w:pPr>
      <w:rPr>
        <w:rFonts w:ascii="Wingdings" w:hAnsi="Wingdings" w:hint="default"/>
      </w:rPr>
    </w:lvl>
    <w:lvl w:ilvl="6" w:tplc="1B804320" w:tentative="1">
      <w:start w:val="1"/>
      <w:numFmt w:val="bullet"/>
      <w:lvlText w:val=""/>
      <w:lvlJc w:val="left"/>
      <w:pPr>
        <w:ind w:left="5040" w:hanging="360"/>
      </w:pPr>
      <w:rPr>
        <w:rFonts w:ascii="Symbol" w:hAnsi="Symbol" w:hint="default"/>
      </w:rPr>
    </w:lvl>
    <w:lvl w:ilvl="7" w:tplc="AD6C83C0" w:tentative="1">
      <w:start w:val="1"/>
      <w:numFmt w:val="bullet"/>
      <w:lvlText w:val="o"/>
      <w:lvlJc w:val="left"/>
      <w:pPr>
        <w:ind w:left="5760" w:hanging="360"/>
      </w:pPr>
      <w:rPr>
        <w:rFonts w:ascii="Courier New" w:hAnsi="Courier New" w:cs="Courier New" w:hint="default"/>
      </w:rPr>
    </w:lvl>
    <w:lvl w:ilvl="8" w:tplc="D8BE7960" w:tentative="1">
      <w:start w:val="1"/>
      <w:numFmt w:val="bullet"/>
      <w:lvlText w:val=""/>
      <w:lvlJc w:val="left"/>
      <w:pPr>
        <w:ind w:left="6480" w:hanging="360"/>
      </w:pPr>
      <w:rPr>
        <w:rFonts w:ascii="Wingdings" w:hAnsi="Wingdings" w:hint="default"/>
      </w:rPr>
    </w:lvl>
  </w:abstractNum>
  <w:abstractNum w:abstractNumId="32" w15:restartNumberingAfterBreak="0">
    <w:nsid w:val="77C21EDE"/>
    <w:multiLevelType w:val="hybridMultilevel"/>
    <w:tmpl w:val="B2B2DC0C"/>
    <w:lvl w:ilvl="0" w:tplc="FBE62C02">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29"/>
  </w:num>
  <w:num w:numId="19">
    <w:abstractNumId w:val="17"/>
  </w:num>
  <w:num w:numId="20">
    <w:abstractNumId w:val="22"/>
  </w:num>
  <w:num w:numId="21">
    <w:abstractNumId w:val="28"/>
  </w:num>
  <w:num w:numId="22">
    <w:abstractNumId w:val="31"/>
  </w:num>
  <w:num w:numId="23">
    <w:abstractNumId w:val="24"/>
  </w:num>
  <w:num w:numId="24">
    <w:abstractNumId w:val="25"/>
  </w:num>
  <w:num w:numId="25">
    <w:abstractNumId w:val="18"/>
  </w:num>
  <w:num w:numId="26">
    <w:abstractNumId w:val="23"/>
  </w:num>
  <w:num w:numId="27">
    <w:abstractNumId w:val="27"/>
  </w:num>
  <w:num w:numId="28">
    <w:abstractNumId w:val="26"/>
  </w:num>
  <w:num w:numId="29">
    <w:abstractNumId w:val="21"/>
  </w:num>
  <w:num w:numId="30">
    <w:abstractNumId w:val="30"/>
  </w:num>
  <w:num w:numId="31">
    <w:abstractNumId w:val="32"/>
  </w:num>
  <w:num w:numId="32">
    <w:abstractNumId w:val="19"/>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8"/>
  </w:hdrShapeDefaults>
  <w:footnotePr>
    <w:footnote w:id="-1"/>
    <w:footnote w:id="0"/>
  </w:footnotePr>
  <w:endnotePr>
    <w:endnote w:id="-1"/>
    <w:endnote w:id="0"/>
  </w:endnotePr>
  <w:compat>
    <w:spaceForUL/>
    <w:balanceSingleByteDoubleByteWidth/>
    <w:doNotLeaveBackslashAlone/>
    <w:ulTrailSpace/>
    <w:usePrinterMetrics/>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F724E"/>
    <w:rsid w:val="000077F6"/>
    <w:rsid w:val="000118C1"/>
    <w:rsid w:val="00027F11"/>
    <w:rsid w:val="000517DE"/>
    <w:rsid w:val="00060238"/>
    <w:rsid w:val="00073CE5"/>
    <w:rsid w:val="00081169"/>
    <w:rsid w:val="00083061"/>
    <w:rsid w:val="0009185E"/>
    <w:rsid w:val="000947E3"/>
    <w:rsid w:val="000A4A0E"/>
    <w:rsid w:val="000E1D7B"/>
    <w:rsid w:val="000F4D6B"/>
    <w:rsid w:val="000F71F1"/>
    <w:rsid w:val="000F7F06"/>
    <w:rsid w:val="00110171"/>
    <w:rsid w:val="001200CF"/>
    <w:rsid w:val="00135A8B"/>
    <w:rsid w:val="00155A1C"/>
    <w:rsid w:val="0016619A"/>
    <w:rsid w:val="001728A2"/>
    <w:rsid w:val="0017786D"/>
    <w:rsid w:val="001841BB"/>
    <w:rsid w:val="001B1C4D"/>
    <w:rsid w:val="001F0343"/>
    <w:rsid w:val="00210356"/>
    <w:rsid w:val="00261A14"/>
    <w:rsid w:val="00277AC7"/>
    <w:rsid w:val="00290995"/>
    <w:rsid w:val="002A5122"/>
    <w:rsid w:val="002B4CF8"/>
    <w:rsid w:val="002C3DC8"/>
    <w:rsid w:val="0033239E"/>
    <w:rsid w:val="003438F3"/>
    <w:rsid w:val="00360823"/>
    <w:rsid w:val="00364324"/>
    <w:rsid w:val="003B33F2"/>
    <w:rsid w:val="003C2F8D"/>
    <w:rsid w:val="00405604"/>
    <w:rsid w:val="00427CC1"/>
    <w:rsid w:val="00455B90"/>
    <w:rsid w:val="00466FDD"/>
    <w:rsid w:val="004C2BA6"/>
    <w:rsid w:val="004D6BE5"/>
    <w:rsid w:val="004E1089"/>
    <w:rsid w:val="004E7EC1"/>
    <w:rsid w:val="004F134D"/>
    <w:rsid w:val="00531045"/>
    <w:rsid w:val="00560013"/>
    <w:rsid w:val="00564406"/>
    <w:rsid w:val="00577A9F"/>
    <w:rsid w:val="005839B2"/>
    <w:rsid w:val="0058798C"/>
    <w:rsid w:val="00595F04"/>
    <w:rsid w:val="0059767C"/>
    <w:rsid w:val="005A4C12"/>
    <w:rsid w:val="005D0319"/>
    <w:rsid w:val="005D123B"/>
    <w:rsid w:val="00622669"/>
    <w:rsid w:val="006357EF"/>
    <w:rsid w:val="0064698E"/>
    <w:rsid w:val="00675AF5"/>
    <w:rsid w:val="0068747B"/>
    <w:rsid w:val="00692E95"/>
    <w:rsid w:val="006A17CD"/>
    <w:rsid w:val="006A69BB"/>
    <w:rsid w:val="006B5D2F"/>
    <w:rsid w:val="006C0603"/>
    <w:rsid w:val="007309BD"/>
    <w:rsid w:val="00740559"/>
    <w:rsid w:val="007B5BDE"/>
    <w:rsid w:val="007C0F34"/>
    <w:rsid w:val="007C2D35"/>
    <w:rsid w:val="007C52F7"/>
    <w:rsid w:val="007D754B"/>
    <w:rsid w:val="007E13E1"/>
    <w:rsid w:val="00820538"/>
    <w:rsid w:val="008372E8"/>
    <w:rsid w:val="008937F3"/>
    <w:rsid w:val="008940AA"/>
    <w:rsid w:val="008D7744"/>
    <w:rsid w:val="008E6084"/>
    <w:rsid w:val="008F724E"/>
    <w:rsid w:val="00926D95"/>
    <w:rsid w:val="009476C7"/>
    <w:rsid w:val="00956D4A"/>
    <w:rsid w:val="00971704"/>
    <w:rsid w:val="00985435"/>
    <w:rsid w:val="009B489A"/>
    <w:rsid w:val="009C0360"/>
    <w:rsid w:val="009F5F23"/>
    <w:rsid w:val="00A4102A"/>
    <w:rsid w:val="00A414BF"/>
    <w:rsid w:val="00A45177"/>
    <w:rsid w:val="00A5064F"/>
    <w:rsid w:val="00A83F19"/>
    <w:rsid w:val="00AA7329"/>
    <w:rsid w:val="00AF5EB5"/>
    <w:rsid w:val="00B33BFF"/>
    <w:rsid w:val="00B43952"/>
    <w:rsid w:val="00B5103F"/>
    <w:rsid w:val="00B643B9"/>
    <w:rsid w:val="00B82949"/>
    <w:rsid w:val="00B96FF5"/>
    <w:rsid w:val="00BB6168"/>
    <w:rsid w:val="00BD5DDE"/>
    <w:rsid w:val="00BE6C8F"/>
    <w:rsid w:val="00C40E02"/>
    <w:rsid w:val="00C5114A"/>
    <w:rsid w:val="00C5407E"/>
    <w:rsid w:val="00CC1CA1"/>
    <w:rsid w:val="00CD7070"/>
    <w:rsid w:val="00CF403A"/>
    <w:rsid w:val="00CF47F6"/>
    <w:rsid w:val="00D066E8"/>
    <w:rsid w:val="00D22117"/>
    <w:rsid w:val="00D341CA"/>
    <w:rsid w:val="00D4256D"/>
    <w:rsid w:val="00D563FC"/>
    <w:rsid w:val="00D6262A"/>
    <w:rsid w:val="00D678DD"/>
    <w:rsid w:val="00D815F7"/>
    <w:rsid w:val="00D81FED"/>
    <w:rsid w:val="00DA44AD"/>
    <w:rsid w:val="00DB642A"/>
    <w:rsid w:val="00DD1D6C"/>
    <w:rsid w:val="00E02A8C"/>
    <w:rsid w:val="00E12CEC"/>
    <w:rsid w:val="00E1372B"/>
    <w:rsid w:val="00E211E8"/>
    <w:rsid w:val="00E23E12"/>
    <w:rsid w:val="00E26CFB"/>
    <w:rsid w:val="00E2720F"/>
    <w:rsid w:val="00E35483"/>
    <w:rsid w:val="00E36AFC"/>
    <w:rsid w:val="00E36BB0"/>
    <w:rsid w:val="00E42A9B"/>
    <w:rsid w:val="00E46613"/>
    <w:rsid w:val="00E62552"/>
    <w:rsid w:val="00E67F8F"/>
    <w:rsid w:val="00E73A67"/>
    <w:rsid w:val="00E84D95"/>
    <w:rsid w:val="00EA3886"/>
    <w:rsid w:val="00EC2012"/>
    <w:rsid w:val="00ED482F"/>
    <w:rsid w:val="00EE2428"/>
    <w:rsid w:val="00EF03FB"/>
    <w:rsid w:val="00EF37D0"/>
    <w:rsid w:val="00F23314"/>
    <w:rsid w:val="00F30880"/>
    <w:rsid w:val="00F641B1"/>
    <w:rsid w:val="00F91A2B"/>
    <w:rsid w:val="00FB16D2"/>
    <w:rsid w:val="00FB323A"/>
    <w:rsid w:val="00FD757A"/>
    <w:rsid w:val="00FE07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oNotEmbedSmartTags/>
  <w:decimalSymbol w:val=","/>
  <w:listSeparator w:val=";"/>
  <w15:chartTrackingRefBased/>
  <w15:docId w15:val="{F40F210D-3C91-4C5C-8619-FD68AD81A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zh-CN"/>
    </w:rPr>
  </w:style>
  <w:style w:type="paragraph" w:styleId="Heading1">
    <w:name w:val="heading 1"/>
    <w:basedOn w:val="Normal"/>
    <w:next w:val="Normal"/>
    <w:qFormat/>
    <w:pPr>
      <w:numPr>
        <w:numId w:val="1"/>
      </w:numPr>
      <w:pBdr>
        <w:top w:val="single" w:sz="24" w:space="0" w:color="808080"/>
        <w:left w:val="single" w:sz="24" w:space="0" w:color="808080"/>
        <w:bottom w:val="single" w:sz="24" w:space="0" w:color="808080"/>
        <w:right w:val="single" w:sz="24" w:space="0" w:color="808080"/>
      </w:pBdr>
      <w:shd w:val="clear" w:color="auto" w:fill="4F81BD"/>
      <w:spacing w:before="200" w:line="276" w:lineRule="auto"/>
      <w:outlineLvl w:val="0"/>
    </w:pPr>
    <w:rPr>
      <w:rFonts w:ascii="Calibri" w:hAnsi="Calibri" w:cs="Calibri"/>
      <w:b/>
      <w:bCs/>
      <w:caps/>
      <w:color w:val="FFFFFF"/>
      <w:spacing w:val="1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color w:val="0000FF"/>
      <w:lang w:val="en-GB" w:eastAsia="en-GB"/>
    </w:rPr>
  </w:style>
  <w:style w:type="character" w:customStyle="1" w:styleId="WW8Num1z2">
    <w:name w:val="WW8Num1z2"/>
    <w:rPr>
      <w:rFonts w:ascii="Wingdings" w:hAnsi="Wingdings" w:cs="Wingdings"/>
    </w:rPr>
  </w:style>
  <w:style w:type="character" w:customStyle="1" w:styleId="WW8Num1z4">
    <w:name w:val="WW8Num1z4"/>
    <w:rPr>
      <w:rFonts w:ascii="Courier New" w:hAnsi="Courier New" w:cs="Courier New"/>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lang w:val="en-GB" w:eastAsia="en-GB"/>
    </w:rPr>
  </w:style>
  <w:style w:type="character" w:customStyle="1" w:styleId="WW8Num4z1">
    <w:name w:val="WW8Num4z1"/>
    <w:rPr>
      <w:rFonts w:ascii="Symbol" w:hAnsi="Symbol" w:cs="Symbol"/>
    </w:rPr>
  </w:style>
  <w:style w:type="character" w:customStyle="1" w:styleId="WW8Num4z2">
    <w:name w:val="WW8Num4z2"/>
    <w:rPr>
      <w:rFonts w:ascii="Wingdings" w:hAnsi="Wingdings" w:cs="Wingdings"/>
    </w:rPr>
  </w:style>
  <w:style w:type="character" w:customStyle="1" w:styleId="WW8Num4z4">
    <w:name w:val="WW8Num4z4"/>
    <w:rPr>
      <w:rFonts w:ascii="Courier New" w:hAnsi="Courier New" w:cs="Courier New"/>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Symbol"/>
      <w:lang w:val="en-GB" w:eastAsia="en-GB"/>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lang w:val="en-GB" w:eastAsia="en-GB"/>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lang w:val="en-GB" w:eastAsia="en-GB"/>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b/>
      <w:color w:val="FF0000"/>
      <w:sz w:val="32"/>
      <w:lang w:val="en-GB" w:eastAsia="en-GB"/>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rPr>
      <w:rFonts w:ascii="Symbol" w:hAnsi="Symbol" w:cs="Symbol"/>
      <w:lang w:val="en-GB" w:eastAsia="en-GB"/>
    </w:rPr>
  </w:style>
  <w:style w:type="character" w:customStyle="1" w:styleId="WW8Num13z1">
    <w:name w:val="WW8Num13z1"/>
    <w:rPr>
      <w:rFonts w:ascii="Courier New" w:hAnsi="Courier New" w:cs="Courier New"/>
      <w:lang w:val="en-GB" w:eastAsia="en-GB"/>
    </w:rPr>
  </w:style>
  <w:style w:type="character" w:customStyle="1" w:styleId="WW8Num13z5">
    <w:name w:val="WW8Num13z5"/>
    <w:rPr>
      <w:rFonts w:ascii="Wingdings" w:hAnsi="Wingdings" w:cs="Wingdings"/>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color w:val="030CBD"/>
      <w:lang w:val="en-GB" w:eastAsia="en-GB"/>
    </w:rPr>
  </w:style>
  <w:style w:type="character" w:customStyle="1" w:styleId="WW8Num16z1">
    <w:name w:val="WW8Num16z1"/>
    <w:rPr>
      <w:rFonts w:ascii="Wingdings 2" w:eastAsia="Times New Roman" w:hAnsi="Wingdings 2" w:cs="Times New Roman"/>
    </w:rPr>
  </w:style>
  <w:style w:type="character" w:customStyle="1" w:styleId="WW8Num16z2">
    <w:name w:val="WW8Num16z2"/>
    <w:rPr>
      <w:rFonts w:ascii="Wingdings" w:hAnsi="Wingdings" w:cs="Wingdings"/>
    </w:rPr>
  </w:style>
  <w:style w:type="character" w:customStyle="1" w:styleId="WW8Num16z4">
    <w:name w:val="WW8Num16z4"/>
    <w:rPr>
      <w:rFonts w:ascii="Courier New" w:hAnsi="Courier New" w:cs="Courier New"/>
    </w:rPr>
  </w:style>
  <w:style w:type="character" w:customStyle="1" w:styleId="WW8Num17z0">
    <w:name w:val="WW8Num17z0"/>
    <w:rPr>
      <w:rFonts w:ascii="Symbol" w:hAnsi="Symbol" w:cs="Symbol"/>
      <w:lang w:val="en-GB" w:eastAsia="en-GB"/>
    </w:rPr>
  </w:style>
  <w:style w:type="character" w:customStyle="1" w:styleId="WW8Num17z1">
    <w:name w:val="WW8Num17z1"/>
    <w:rPr>
      <w:rFonts w:ascii="Wingdings" w:hAnsi="Wingdings" w:cs="Wingdings"/>
    </w:rPr>
  </w:style>
  <w:style w:type="character" w:customStyle="1" w:styleId="WW8Num17z4">
    <w:name w:val="WW8Num17z4"/>
    <w:rPr>
      <w:rFonts w:ascii="Courier New" w:hAnsi="Courier New" w:cs="Courier New"/>
    </w:rPr>
  </w:style>
  <w:style w:type="character" w:customStyle="1" w:styleId="WW8Num18z0">
    <w:name w:val="WW8Num18z0"/>
    <w:rPr>
      <w:rFonts w:ascii="Symbol" w:hAnsi="Symbol" w:cs="Symbol"/>
      <w:lang w:val="en-GB" w:eastAsia="en-GB"/>
    </w:rPr>
  </w:style>
  <w:style w:type="character" w:customStyle="1" w:styleId="WW8Num18z1">
    <w:name w:val="WW8Num18z1"/>
    <w:rPr>
      <w:rFonts w:ascii="Wingdings" w:hAnsi="Wingdings" w:cs="Wingdings"/>
    </w:rPr>
  </w:style>
  <w:style w:type="character" w:customStyle="1" w:styleId="WW8Num18z4">
    <w:name w:val="WW8Num18z4"/>
    <w:rPr>
      <w:rFonts w:ascii="Courier New" w:hAnsi="Courier New" w:cs="Courier New"/>
    </w:rPr>
  </w:style>
  <w:style w:type="character" w:customStyle="1" w:styleId="WW8Num19z0">
    <w:name w:val="WW8Num19z0"/>
    <w:rPr>
      <w:rFonts w:ascii="Symbol" w:hAnsi="Symbol" w:cs="Symbol"/>
      <w:lang w:val="en-GB" w:eastAsia="en-GB"/>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Times New Roman" w:eastAsia="Times New Roman" w:hAnsi="Times New Roman" w:cs="Times New Roman"/>
      <w:lang w:val="en-GB" w:eastAsia="en-GB"/>
    </w:rPr>
  </w:style>
  <w:style w:type="character" w:customStyle="1" w:styleId="WW8Num21z1">
    <w:name w:val="WW8Num21z1"/>
    <w:rPr>
      <w:rFonts w:ascii="Symbol" w:hAnsi="Symbol" w:cs="Symbol"/>
    </w:rPr>
  </w:style>
  <w:style w:type="character" w:customStyle="1" w:styleId="WW8Num21z2">
    <w:name w:val="WW8Num21z2"/>
    <w:rPr>
      <w:rFonts w:ascii="Wingdings" w:hAnsi="Wingdings" w:cs="Wingdings"/>
    </w:rPr>
  </w:style>
  <w:style w:type="character" w:customStyle="1" w:styleId="WW8Num21z4">
    <w:name w:val="WW8Num21z4"/>
    <w:rPr>
      <w:rFonts w:ascii="Courier New" w:hAnsi="Courier New" w:cs="Courier New"/>
    </w:rPr>
  </w:style>
  <w:style w:type="character" w:customStyle="1" w:styleId="WW8Num22z0">
    <w:name w:val="WW8Num22z0"/>
    <w:rPr>
      <w:rFonts w:ascii="Times New Roman" w:eastAsia="Times New Roman" w:hAnsi="Times New Roman" w:cs="Times New Roman"/>
      <w:lang w:val="en-GB" w:eastAsia="en-GB"/>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Symbol" w:hAnsi="Symbol" w:cs="Symbol"/>
      <w:lang w:val="en-GB" w:eastAsia="en-GB"/>
    </w:rPr>
  </w:style>
  <w:style w:type="character" w:customStyle="1" w:styleId="WW8Num23z1">
    <w:name w:val="WW8Num23z1"/>
    <w:rPr>
      <w:rFonts w:ascii="Wingdings" w:hAnsi="Wingdings" w:cs="Wingdings"/>
    </w:rPr>
  </w:style>
  <w:style w:type="character" w:customStyle="1" w:styleId="WW8Num23z4">
    <w:name w:val="WW8Num23z4"/>
    <w:rPr>
      <w:rFonts w:ascii="Courier New" w:hAnsi="Courier New" w:cs="Courier New"/>
    </w:rPr>
  </w:style>
  <w:style w:type="character" w:customStyle="1" w:styleId="mediumtext">
    <w:name w:val="medium_text"/>
    <w:rPr>
      <w:rFonts w:cs="Times New Roman"/>
    </w:rPr>
  </w:style>
  <w:style w:type="character" w:styleId="Hyperlink">
    <w:name w:val="Hyperlink"/>
    <w:rPr>
      <w:rFonts w:cs="Times New Roman"/>
      <w:color w:val="0000FF"/>
      <w:u w:val="single"/>
    </w:rPr>
  </w:style>
  <w:style w:type="character" w:styleId="FollowedHyperlink">
    <w:name w:val="FollowedHyperlink"/>
    <w:rPr>
      <w:rFonts w:cs="Times New Roman"/>
      <w:color w:val="606420"/>
      <w:u w:val="single"/>
    </w:rPr>
  </w:style>
  <w:style w:type="character" w:styleId="CommentReference">
    <w:name w:val="annotation reference"/>
    <w:rPr>
      <w:rFonts w:cs="Times New Roman"/>
      <w:sz w:val="16"/>
      <w:szCs w:val="16"/>
    </w:rPr>
  </w:style>
  <w:style w:type="character" w:customStyle="1" w:styleId="TitleChar">
    <w:name w:val="Title Char"/>
    <w:rPr>
      <w:rFonts w:ascii="Cambria" w:hAnsi="Cambria" w:cs="Cambria"/>
      <w:b/>
      <w:bCs/>
      <w:kern w:val="1"/>
      <w:sz w:val="32"/>
      <w:szCs w:val="32"/>
      <w:lang w:val="en-US" w:bidi="en-US"/>
    </w:rPr>
  </w:style>
  <w:style w:type="character" w:styleId="PageNumber">
    <w:name w:val="page number"/>
  </w:style>
  <w:style w:type="character" w:customStyle="1" w:styleId="Heading1Char">
    <w:name w:val="Heading 1 Char"/>
    <w:rPr>
      <w:rFonts w:ascii="Calibri" w:hAnsi="Calibri" w:cs="Calibri"/>
      <w:b/>
      <w:bCs/>
      <w:caps/>
      <w:color w:val="FFFFFF"/>
      <w:spacing w:val="15"/>
      <w:sz w:val="22"/>
      <w:szCs w:val="22"/>
      <w:shd w:val="clear" w:color="auto" w:fill="4F81BD"/>
    </w:rPr>
  </w:style>
  <w:style w:type="character" w:styleId="BookTitle">
    <w:name w:val="Book Title"/>
    <w:uiPriority w:val="33"/>
    <w:qFormat/>
    <w:rPr>
      <w:b/>
      <w:bCs/>
      <w:i/>
      <w:iCs/>
      <w:spacing w:val="9"/>
    </w:rPr>
  </w:style>
  <w:style w:type="character" w:customStyle="1" w:styleId="FooterChar">
    <w:name w:val="Footer Char"/>
    <w:rPr>
      <w:sz w:val="24"/>
      <w:szCs w:val="24"/>
    </w:rPr>
  </w:style>
  <w:style w:type="paragraph" w:customStyle="1" w:styleId="Heading">
    <w:name w:val="Heading"/>
    <w:basedOn w:val="Normal"/>
    <w:next w:val="Normal"/>
    <w:pPr>
      <w:spacing w:before="240" w:after="60"/>
      <w:jc w:val="center"/>
    </w:pPr>
    <w:rPr>
      <w:rFonts w:ascii="Cambria" w:hAnsi="Cambria" w:cs="Cambria"/>
      <w:b/>
      <w:bCs/>
      <w:kern w:val="1"/>
      <w:sz w:val="32"/>
      <w:szCs w:val="32"/>
      <w:lang w:val="en-US" w:bidi="en-US"/>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BalloonText">
    <w:name w:val="Balloon Text"/>
    <w:basedOn w:val="Normal"/>
    <w:rPr>
      <w:rFonts w:ascii="Tahoma" w:hAnsi="Tahoma" w:cs="Tahoma"/>
      <w:sz w:val="16"/>
      <w:szCs w:val="16"/>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Revision">
    <w:name w:val="Revision"/>
    <w:pPr>
      <w:suppressAutoHyphens/>
    </w:pPr>
    <w:rPr>
      <w:sz w:val="24"/>
      <w:szCs w:val="24"/>
      <w:lang w:eastAsia="zh-CN"/>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FootnoteText">
    <w:name w:val="footnote text"/>
    <w:basedOn w:val="Normal"/>
    <w:link w:val="FootnoteTextChar"/>
    <w:rsid w:val="00C40E02"/>
    <w:pPr>
      <w:suppressAutoHyphens w:val="0"/>
    </w:pPr>
    <w:rPr>
      <w:sz w:val="20"/>
      <w:szCs w:val="20"/>
      <w:lang w:eastAsia="en-GB"/>
    </w:rPr>
  </w:style>
  <w:style w:type="character" w:customStyle="1" w:styleId="FootnoteTextChar">
    <w:name w:val="Footnote Text Char"/>
    <w:basedOn w:val="DefaultParagraphFont"/>
    <w:link w:val="FootnoteText"/>
    <w:rsid w:val="00C40E02"/>
  </w:style>
  <w:style w:type="character" w:styleId="FootnoteReference">
    <w:name w:val="footnote reference"/>
    <w:rsid w:val="00C40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uropeaid/online-services/index.cfm?ADSSChck=1290000630314&amp;do=publi.welcome&amp;userlanguage=en" TargetMode="External"/><Relationship Id="rId13" Type="http://schemas.openxmlformats.org/officeDocument/2006/relationships/hyperlink" Target="https://ec.europa.eu/info/funding-tenders/opportunities/portal/screen/home" TargetMode="External"/><Relationship Id="rId18" Type="http://schemas.openxmlformats.org/officeDocument/2006/relationships/image" Target="media/image1.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ebgate.ec.europa.eu/europeaid/online-services/index.cfm?ADSSChck=1312897577430&amp;do=publi.welcome&amp;userlanguage=es" TargetMode="External"/><Relationship Id="rId17" Type="http://schemas.openxmlformats.org/officeDocument/2006/relationships/hyperlink" Target="mailto:OP-OJS-COORDINATION@publications.europa.e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ted.europa.eu/TED/misc/releaseCalendar.do" TargetMode="External"/><Relationship Id="rId20" Type="http://schemas.openxmlformats.org/officeDocument/2006/relationships/hyperlink" Target="https://ec.europa.eu/europeaid/prag/annexes.do?chapterTitleCode=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lications.jrc.cec.eu.int/ppmt"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ebgate.ec.europa.eu/fpfis/wikis/display/RelexInternalWiki/Procurement+with+Publication"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ec.europa.eu/europeaid/prag/welcome.do?locale=es" TargetMode="External"/><Relationship Id="rId19" Type="http://schemas.openxmlformats.org/officeDocument/2006/relationships/hyperlink" Target="mailto:OP-OJS-COORDINATION@publications.europa.eu" TargetMode="External"/><Relationship Id="rId4" Type="http://schemas.openxmlformats.org/officeDocument/2006/relationships/settings" Target="settings.xml"/><Relationship Id="rId9" Type="http://schemas.openxmlformats.org/officeDocument/2006/relationships/hyperlink" Target="https://webgate.ec.europa.eu/europeaid/online-services/index.cfm?ADSSChck=1290000630314&amp;do=publi.welcome&amp;userlanguage=en" TargetMode="External"/><Relationship Id="rId14" Type="http://schemas.openxmlformats.org/officeDocument/2006/relationships/hyperlink" Target="https://myintracomm.ec.europa.eu/budgweb/EN/imp/procurement/Documents/simap-enotice-procurement-en.pdf"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simap.ted.europa.eu/documents/10184/166101/Instructions+for+the+use+of+F14_EN.pdf/909e4b38-1871-49a1-a206-7a5976a2d262" TargetMode="External"/><Relationship Id="rId2" Type="http://schemas.openxmlformats.org/officeDocument/2006/relationships/hyperlink" Target="http://ec.europa.eu/europeaid/funding/prospect_en" TargetMode="External"/><Relationship Id="rId1" Type="http://schemas.openxmlformats.org/officeDocument/2006/relationships/hyperlink" Target="http://ec.europa.eu/europeaid/work/onlineservices/pador/index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8D1A6-F3E1-4F15-BCCF-287BE9A59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8</Pages>
  <Words>2385</Words>
  <Characters>13145</Characters>
  <Application>Microsoft Office Word</Application>
  <DocSecurity>0</DocSecurity>
  <Lines>187</Lines>
  <Paragraphs>125</Paragraphs>
  <ScaleCrop>false</ScaleCrop>
  <HeadingPairs>
    <vt:vector size="2" baseType="variant">
      <vt:variant>
        <vt:lpstr>Title</vt:lpstr>
      </vt:variant>
      <vt:variant>
        <vt:i4>1</vt:i4>
      </vt:variant>
    </vt:vector>
  </HeadingPairs>
  <TitlesOfParts>
    <vt:vector size="1" baseType="lpstr">
      <vt:lpstr>Publicaciones</vt:lpstr>
    </vt:vector>
  </TitlesOfParts>
  <Company>European Commission</Company>
  <LinksUpToDate>false</LinksUpToDate>
  <CharactersWithSpaces>15405</CharactersWithSpaces>
  <SharedDoc>false</SharedDoc>
  <HLinks>
    <vt:vector size="192" baseType="variant">
      <vt:variant>
        <vt:i4>2949159</vt:i4>
      </vt:variant>
      <vt:variant>
        <vt:i4>87</vt:i4>
      </vt:variant>
      <vt:variant>
        <vt:i4>0</vt:i4>
      </vt:variant>
      <vt:variant>
        <vt:i4>5</vt:i4>
      </vt:variant>
      <vt:variant>
        <vt:lpwstr>http://ec.europa.eu/europeaid/prag/document.do?chapterId=3.3.1.2.&amp;id=41</vt:lpwstr>
      </vt:variant>
      <vt:variant>
        <vt:lpwstr/>
      </vt:variant>
      <vt:variant>
        <vt:i4>6291571</vt:i4>
      </vt:variant>
      <vt:variant>
        <vt:i4>84</vt:i4>
      </vt:variant>
      <vt:variant>
        <vt:i4>0</vt:i4>
      </vt:variant>
      <vt:variant>
        <vt:i4>5</vt:i4>
      </vt:variant>
      <vt:variant>
        <vt:lpwstr>http://ec.europa.eu/europeaid/prag/document.do?chapterId=2.9.3.</vt:lpwstr>
      </vt:variant>
      <vt:variant>
        <vt:lpwstr/>
      </vt:variant>
      <vt:variant>
        <vt:i4>7012467</vt:i4>
      </vt:variant>
      <vt:variant>
        <vt:i4>81</vt:i4>
      </vt:variant>
      <vt:variant>
        <vt:i4>0</vt:i4>
      </vt:variant>
      <vt:variant>
        <vt:i4>5</vt:i4>
      </vt:variant>
      <vt:variant>
        <vt:lpwstr>http://ec.europa.eu/europeaid/prag/document.do?chapterId=5.4.2.</vt:lpwstr>
      </vt:variant>
      <vt:variant>
        <vt:lpwstr/>
      </vt:variant>
      <vt:variant>
        <vt:i4>4259904</vt:i4>
      </vt:variant>
      <vt:variant>
        <vt:i4>78</vt:i4>
      </vt:variant>
      <vt:variant>
        <vt:i4>0</vt:i4>
      </vt:variant>
      <vt:variant>
        <vt:i4>5</vt:i4>
      </vt:variant>
      <vt:variant>
        <vt:lpwstr>http://ec.europa.eu/europeaid/prag/document.do?chapterId=2.4.13.</vt:lpwstr>
      </vt:variant>
      <vt:variant>
        <vt:lpwstr/>
      </vt:variant>
      <vt:variant>
        <vt:i4>1441859</vt:i4>
      </vt:variant>
      <vt:variant>
        <vt:i4>75</vt:i4>
      </vt:variant>
      <vt:variant>
        <vt:i4>0</vt:i4>
      </vt:variant>
      <vt:variant>
        <vt:i4>5</vt:i4>
      </vt:variant>
      <vt:variant>
        <vt:lpwstr>https://webgate.ec.europa.eu/europeaid/online-services/index.cfm?ADSSChck=1290000630314&amp;do=publi.welcome&amp;userlanguage=en</vt:lpwstr>
      </vt:variant>
      <vt:variant>
        <vt:lpwstr/>
      </vt:variant>
      <vt:variant>
        <vt:i4>2687002</vt:i4>
      </vt:variant>
      <vt:variant>
        <vt:i4>72</vt:i4>
      </vt:variant>
      <vt:variant>
        <vt:i4>0</vt:i4>
      </vt:variant>
      <vt:variant>
        <vt:i4>5</vt:i4>
      </vt:variant>
      <vt:variant>
        <vt:lpwstr>mailto:EC-PDF-CODE-WEB@ec.europa.eu</vt:lpwstr>
      </vt:variant>
      <vt:variant>
        <vt:lpwstr/>
      </vt:variant>
      <vt:variant>
        <vt:i4>2687002</vt:i4>
      </vt:variant>
      <vt:variant>
        <vt:i4>69</vt:i4>
      </vt:variant>
      <vt:variant>
        <vt:i4>0</vt:i4>
      </vt:variant>
      <vt:variant>
        <vt:i4>5</vt:i4>
      </vt:variant>
      <vt:variant>
        <vt:lpwstr>mailto:EC-PDF-CODE-WEB@ec.europa.eu</vt:lpwstr>
      </vt:variant>
      <vt:variant>
        <vt:lpwstr/>
      </vt:variant>
      <vt:variant>
        <vt:i4>1441859</vt:i4>
      </vt:variant>
      <vt:variant>
        <vt:i4>66</vt:i4>
      </vt:variant>
      <vt:variant>
        <vt:i4>0</vt:i4>
      </vt:variant>
      <vt:variant>
        <vt:i4>5</vt:i4>
      </vt:variant>
      <vt:variant>
        <vt:lpwstr>https://webgate.ec.europa.eu/europeaid/online-services/index.cfm?ADSSChck=1290000630314&amp;do=publi.welcome&amp;userlanguage=en</vt:lpwstr>
      </vt:variant>
      <vt:variant>
        <vt:lpwstr/>
      </vt:variant>
      <vt:variant>
        <vt:i4>1441859</vt:i4>
      </vt:variant>
      <vt:variant>
        <vt:i4>63</vt:i4>
      </vt:variant>
      <vt:variant>
        <vt:i4>0</vt:i4>
      </vt:variant>
      <vt:variant>
        <vt:i4>5</vt:i4>
      </vt:variant>
      <vt:variant>
        <vt:lpwstr>https://webgate.ec.europa.eu/europeaid/online-services/index.cfm?ADSSChck=1290000630314&amp;do=publi.welcome&amp;userlanguage=en</vt:lpwstr>
      </vt:variant>
      <vt:variant>
        <vt:lpwstr/>
      </vt:variant>
      <vt:variant>
        <vt:i4>1441859</vt:i4>
      </vt:variant>
      <vt:variant>
        <vt:i4>60</vt:i4>
      </vt:variant>
      <vt:variant>
        <vt:i4>0</vt:i4>
      </vt:variant>
      <vt:variant>
        <vt:i4>5</vt:i4>
      </vt:variant>
      <vt:variant>
        <vt:lpwstr>https://webgate.ec.europa.eu/europeaid/online-services/index.cfm?ADSSChck=1290000630314&amp;do=publi.welcome&amp;userlanguage=en</vt:lpwstr>
      </vt:variant>
      <vt:variant>
        <vt:lpwstr/>
      </vt:variant>
      <vt:variant>
        <vt:i4>1441859</vt:i4>
      </vt:variant>
      <vt:variant>
        <vt:i4>57</vt:i4>
      </vt:variant>
      <vt:variant>
        <vt:i4>0</vt:i4>
      </vt:variant>
      <vt:variant>
        <vt:i4>5</vt:i4>
      </vt:variant>
      <vt:variant>
        <vt:lpwstr>https://webgate.ec.europa.eu/europeaid/online-services/index.cfm?ADSSChck=1290000630314&amp;do=publi.welcome&amp;userlanguage=en</vt:lpwstr>
      </vt:variant>
      <vt:variant>
        <vt:lpwstr/>
      </vt:variant>
      <vt:variant>
        <vt:i4>1441859</vt:i4>
      </vt:variant>
      <vt:variant>
        <vt:i4>54</vt:i4>
      </vt:variant>
      <vt:variant>
        <vt:i4>0</vt:i4>
      </vt:variant>
      <vt:variant>
        <vt:i4>5</vt:i4>
      </vt:variant>
      <vt:variant>
        <vt:lpwstr>https://webgate.ec.europa.eu/europeaid/online-services/index.cfm?ADSSChck=1290000630314&amp;do=publi.welcome&amp;userlanguage=en</vt:lpwstr>
      </vt:variant>
      <vt:variant>
        <vt:lpwstr/>
      </vt:variant>
      <vt:variant>
        <vt:i4>6422653</vt:i4>
      </vt:variant>
      <vt:variant>
        <vt:i4>51</vt:i4>
      </vt:variant>
      <vt:variant>
        <vt:i4>0</vt:i4>
      </vt:variant>
      <vt:variant>
        <vt:i4>5</vt:i4>
      </vt:variant>
      <vt:variant>
        <vt:lpwstr>http://ted.europa.eu/TED/misc/chooseLanguage.do?ticket=ST-7069904-8d3iPiXGZSsIzSXrBGvjM814NzpRa39MszS9wUzduzsh8MvzpMwRZRSy8EAzPDZNnjsBGC9wLAuKbh2BfHtJ1Yxe-PHslUMVSXYCK7m5PuV5CDS-UcRicMBaao66PYX1VVwjU1Zd7ARXzZ7ubOLAeafNzlNm</vt:lpwstr>
      </vt:variant>
      <vt:variant>
        <vt:lpwstr/>
      </vt:variant>
      <vt:variant>
        <vt:i4>1703987</vt:i4>
      </vt:variant>
      <vt:variant>
        <vt:i4>48</vt:i4>
      </vt:variant>
      <vt:variant>
        <vt:i4>0</vt:i4>
      </vt:variant>
      <vt:variant>
        <vt:i4>5</vt:i4>
      </vt:variant>
      <vt:variant>
        <vt:lpwstr>mailto:EuropeAid-THEMAPUB@ec.europa.eu</vt:lpwstr>
      </vt:variant>
      <vt:variant>
        <vt:lpwstr/>
      </vt:variant>
      <vt:variant>
        <vt:i4>6422598</vt:i4>
      </vt:variant>
      <vt:variant>
        <vt:i4>45</vt:i4>
      </vt:variant>
      <vt:variant>
        <vt:i4>0</vt:i4>
      </vt:variant>
      <vt:variant>
        <vt:i4>5</vt:i4>
      </vt:variant>
      <vt:variant>
        <vt:lpwstr>mailto:EuropeAid-IPAPUB@ec.europa.eu</vt:lpwstr>
      </vt:variant>
      <vt:variant>
        <vt:lpwstr/>
      </vt:variant>
      <vt:variant>
        <vt:i4>1572899</vt:i4>
      </vt:variant>
      <vt:variant>
        <vt:i4>42</vt:i4>
      </vt:variant>
      <vt:variant>
        <vt:i4>0</vt:i4>
      </vt:variant>
      <vt:variant>
        <vt:i4>5</vt:i4>
      </vt:variant>
      <vt:variant>
        <vt:lpwstr>mailto:EuropeAid-NEIGHBOURPUB@ec.europa.eu</vt:lpwstr>
      </vt:variant>
      <vt:variant>
        <vt:lpwstr/>
      </vt:variant>
      <vt:variant>
        <vt:i4>8061013</vt:i4>
      </vt:variant>
      <vt:variant>
        <vt:i4>39</vt:i4>
      </vt:variant>
      <vt:variant>
        <vt:i4>0</vt:i4>
      </vt:variant>
      <vt:variant>
        <vt:i4>5</vt:i4>
      </vt:variant>
      <vt:variant>
        <vt:lpwstr>mailto:EuropeAid-ACPPUB@ec.europa.eu</vt:lpwstr>
      </vt:variant>
      <vt:variant>
        <vt:lpwstr/>
      </vt:variant>
      <vt:variant>
        <vt:i4>196649</vt:i4>
      </vt:variant>
      <vt:variant>
        <vt:i4>36</vt:i4>
      </vt:variant>
      <vt:variant>
        <vt:i4>0</vt:i4>
      </vt:variant>
      <vt:variant>
        <vt:i4>5</vt:i4>
      </vt:variant>
      <vt:variant>
        <vt:lpwstr>mailto:EuropeAid-ALASIPUB@ec.europa.eu</vt:lpwstr>
      </vt:variant>
      <vt:variant>
        <vt:lpwstr/>
      </vt:variant>
      <vt:variant>
        <vt:i4>5701661</vt:i4>
      </vt:variant>
      <vt:variant>
        <vt:i4>33</vt:i4>
      </vt:variant>
      <vt:variant>
        <vt:i4>0</vt:i4>
      </vt:variant>
      <vt:variant>
        <vt:i4>5</vt:i4>
      </vt:variant>
      <vt:variant>
        <vt:lpwstr>http://www.cc.cec/wikis/display/crisknowledgebase/Call+for+Proposals+-+Call+for+Tender+manual</vt:lpwstr>
      </vt:variant>
      <vt:variant>
        <vt:lpwstr/>
      </vt:variant>
      <vt:variant>
        <vt:i4>4063334</vt:i4>
      </vt:variant>
      <vt:variant>
        <vt:i4>30</vt:i4>
      </vt:variant>
      <vt:variant>
        <vt:i4>0</vt:i4>
      </vt:variant>
      <vt:variant>
        <vt:i4>5</vt:i4>
      </vt:variant>
      <vt:variant>
        <vt:lpwstr>http://www.cc.cec/wikis/display/crisknowledgebase/Call+for+Proposals+-+Call+for+Tender+manual?ticket=ST-7068440-bTehwaMMf10TuiLQdpKyvXUHxjgdZOuUzR9sBmTF3aiTgefM9TtS4We8Je04Fhy61LTmAIjkAiioUtggOfNMHW-PHslUMVSXYCK7m5PuV5CDS-9pTgqC1vEwtKHV4E2xmsQatW3ELPdzrzyxPgR8NmpC8m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5505054</vt:i4>
      </vt:variant>
      <vt:variant>
        <vt:i4>24</vt:i4>
      </vt:variant>
      <vt:variant>
        <vt:i4>0</vt:i4>
      </vt:variant>
      <vt:variant>
        <vt:i4>5</vt:i4>
      </vt:variant>
      <vt:variant>
        <vt:lpwstr>http://ec.europa.eu/europeaid/prag/annexes.do?chapterTitleCode=D</vt:lpwstr>
      </vt:variant>
      <vt:variant>
        <vt:lpwstr/>
      </vt:variant>
      <vt:variant>
        <vt:i4>5439518</vt:i4>
      </vt:variant>
      <vt:variant>
        <vt:i4>21</vt:i4>
      </vt:variant>
      <vt:variant>
        <vt:i4>0</vt:i4>
      </vt:variant>
      <vt:variant>
        <vt:i4>5</vt:i4>
      </vt:variant>
      <vt:variant>
        <vt:lpwstr>http://ec.europa.eu/europeaid/prag/annexes.do?chapterTitleCode=C</vt:lpwstr>
      </vt:variant>
      <vt:variant>
        <vt:lpwstr/>
      </vt:variant>
      <vt:variant>
        <vt:i4>5308446</vt:i4>
      </vt:variant>
      <vt:variant>
        <vt:i4>18</vt:i4>
      </vt:variant>
      <vt:variant>
        <vt:i4>0</vt:i4>
      </vt:variant>
      <vt:variant>
        <vt:i4>5</vt:i4>
      </vt:variant>
      <vt:variant>
        <vt:lpwstr>http://ec.europa.eu/europeaid/prag/annexes.do?chapterTitleCode=A</vt:lpwstr>
      </vt:variant>
      <vt:variant>
        <vt:lpwstr/>
      </vt:variant>
      <vt:variant>
        <vt:i4>5308446</vt:i4>
      </vt:variant>
      <vt:variant>
        <vt:i4>15</vt:i4>
      </vt:variant>
      <vt:variant>
        <vt:i4>0</vt:i4>
      </vt:variant>
      <vt:variant>
        <vt:i4>5</vt:i4>
      </vt:variant>
      <vt:variant>
        <vt:lpwstr>http://ec.europa.eu/europeaid/prag/annexes.do?chapterTitleCode=A</vt:lpwstr>
      </vt:variant>
      <vt:variant>
        <vt:lpwstr/>
      </vt:variant>
      <vt:variant>
        <vt:i4>458819</vt:i4>
      </vt:variant>
      <vt:variant>
        <vt:i4>12</vt:i4>
      </vt:variant>
      <vt:variant>
        <vt:i4>0</vt:i4>
      </vt:variant>
      <vt:variant>
        <vt:i4>5</vt:i4>
      </vt:variant>
      <vt:variant>
        <vt:lpwstr>https://webgate.ec.europa.eu/europeaid/online-services/index.cfm?ADSSChck=1312897577430&amp;do=publi.welcome&amp;userlanguage=es</vt:lpwstr>
      </vt:variant>
      <vt:variant>
        <vt:lpwstr/>
      </vt:variant>
      <vt:variant>
        <vt:i4>5636106</vt:i4>
      </vt:variant>
      <vt:variant>
        <vt:i4>9</vt:i4>
      </vt:variant>
      <vt:variant>
        <vt:i4>0</vt:i4>
      </vt:variant>
      <vt:variant>
        <vt:i4>5</vt:i4>
      </vt:variant>
      <vt:variant>
        <vt:lpwstr>http://ted.europa.eu/TED/main/HomePage.do</vt:lpwstr>
      </vt:variant>
      <vt:variant>
        <vt:lpwstr/>
      </vt:variant>
      <vt:variant>
        <vt:i4>3735678</vt:i4>
      </vt:variant>
      <vt:variant>
        <vt:i4>6</vt:i4>
      </vt:variant>
      <vt:variant>
        <vt:i4>0</vt:i4>
      </vt:variant>
      <vt:variant>
        <vt:i4>5</vt:i4>
      </vt:variant>
      <vt:variant>
        <vt:lpwstr>http://ec.europa.eu/europeaid/prag/welcome.do?locale=es</vt:lpwstr>
      </vt:variant>
      <vt:variant>
        <vt:lpwstr/>
      </vt:variant>
      <vt:variant>
        <vt:i4>1441859</vt:i4>
      </vt:variant>
      <vt:variant>
        <vt:i4>3</vt:i4>
      </vt:variant>
      <vt:variant>
        <vt:i4>0</vt:i4>
      </vt:variant>
      <vt:variant>
        <vt:i4>5</vt:i4>
      </vt:variant>
      <vt:variant>
        <vt:lpwstr>https://webgate.ec.europa.eu/europeaid/online-services/index.cfm?ADSSChck=1290000630314&amp;do=publi.welcome&amp;userlanguage=en</vt:lpwstr>
      </vt:variant>
      <vt:variant>
        <vt:lpwstr/>
      </vt:variant>
      <vt:variant>
        <vt:i4>1441859</vt:i4>
      </vt:variant>
      <vt:variant>
        <vt:i4>0</vt:i4>
      </vt:variant>
      <vt:variant>
        <vt:i4>0</vt:i4>
      </vt:variant>
      <vt:variant>
        <vt:i4>5</vt:i4>
      </vt:variant>
      <vt:variant>
        <vt:lpwstr>https://webgate.ec.europa.eu/europeaid/online-services/index.cfm?ADSSChck=1290000630314&amp;do=publi.welcome&amp;userlanguage=en</vt:lpwstr>
      </vt:variant>
      <vt:variant>
        <vt:lpwstr/>
      </vt:variant>
      <vt:variant>
        <vt:i4>5046369</vt:i4>
      </vt:variant>
      <vt:variant>
        <vt:i4>3</vt:i4>
      </vt:variant>
      <vt:variant>
        <vt:i4>0</vt:i4>
      </vt:variant>
      <vt:variant>
        <vt:i4>5</vt:i4>
      </vt:variant>
      <vt:variant>
        <vt:lpwstr>http://ec.europa.eu/europeaid/funding/prospect_en</vt:lpwstr>
      </vt:variant>
      <vt:variant>
        <vt:lpwstr/>
      </vt:variant>
      <vt:variant>
        <vt:i4>3997779</vt:i4>
      </vt:variant>
      <vt:variant>
        <vt:i4>0</vt:i4>
      </vt:variant>
      <vt:variant>
        <vt:i4>0</vt:i4>
      </vt:variant>
      <vt:variant>
        <vt:i4>5</vt:i4>
      </vt:variant>
      <vt:variant>
        <vt:lpwstr>http://ec.europa.eu/europeaid/work/onlineservices/pador/index_en.htm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Publicaciones</dc:title>
  <dc:subject/>
  <dc:creator>aidco-sd-tech2</dc:creator>
  <cp:keywords/>
  <cp:lastModifiedBy>FAJARDO SORIA Isabel (DEVCO)</cp:lastModifiedBy>
  <cp:revision>44</cp:revision>
  <cp:lastPrinted>2016-02-15T16:44:00Z</cp:lastPrinted>
  <dcterms:created xsi:type="dcterms:W3CDTF">2018-10-18T10:11:00Z</dcterms:created>
  <dcterms:modified xsi:type="dcterms:W3CDTF">2020-12-17T09:14:00Z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ies>
</file>