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E82463" w:rsidRDefault="0047783A" w:rsidP="007019C1">
      <w:pPr>
        <w:pStyle w:val="Heading1"/>
        <w:numPr>
          <w:ilvl w:val="0"/>
          <w:numId w:val="0"/>
        </w:numPr>
        <w:rPr>
          <w:szCs w:val="28"/>
        </w:rPr>
      </w:pPr>
      <w:bookmarkStart w:id="0" w:name="_Toc42488069"/>
      <w:bookmarkStart w:id="1" w:name="_GoBack"/>
      <w:bookmarkEnd w:id="1"/>
      <w:r>
        <w:t>A.</w:t>
      </w:r>
      <w:r>
        <w:tab/>
        <w:t>INSTRUCCIONES PARA LOS LICITADORES</w:t>
      </w:r>
      <w:bookmarkEnd w:id="0"/>
    </w:p>
    <w:p w:rsidR="0047783A" w:rsidRPr="00E82463" w:rsidRDefault="0047783A">
      <w:pPr>
        <w:pStyle w:val="Subtitle"/>
        <w:spacing w:after="240"/>
        <w:jc w:val="left"/>
        <w:rPr>
          <w:rFonts w:ascii="Times New Roman" w:hAnsi="Times New Roman"/>
          <w:szCs w:val="28"/>
        </w:rPr>
      </w:pPr>
      <w:r>
        <w:rPr>
          <w:rFonts w:ascii="Times New Roman" w:hAnsi="Times New Roman"/>
        </w:rPr>
        <w:t>REFERENCIA DE PUBLICACIÓN: &lt;</w:t>
      </w:r>
      <w:r>
        <w:rPr>
          <w:rFonts w:ascii="Times New Roman" w:hAnsi="Times New Roman"/>
          <w:highlight w:val="yellow"/>
        </w:rPr>
        <w:t>insertar referencia</w:t>
      </w:r>
      <w:r>
        <w:rPr>
          <w:rFonts w:ascii="Times New Roman" w:hAnsi="Times New Roman"/>
        </w:rPr>
        <w:t>&gt;</w:t>
      </w:r>
    </w:p>
    <w:p w:rsidR="0047783A" w:rsidRPr="00E82463" w:rsidRDefault="00121DE4">
      <w:pPr>
        <w:pStyle w:val="Subtitle"/>
        <w:spacing w:before="0" w:after="240"/>
        <w:jc w:val="both"/>
        <w:rPr>
          <w:rFonts w:ascii="Times New Roman" w:hAnsi="Times New Roman"/>
          <w:sz w:val="22"/>
        </w:rPr>
      </w:pPr>
      <w:r>
        <w:rPr>
          <w:rFonts w:ascii="Times New Roman" w:hAnsi="Times New Roman"/>
          <w:sz w:val="22"/>
        </w:rPr>
        <w:t xml:space="preserve">Al presentar su oferta, los licitadores aceptan íntegramente y sin reserva alguna las </w:t>
      </w:r>
      <w:r w:rsidR="001C29C2">
        <w:rPr>
          <w:rFonts w:ascii="Times New Roman" w:hAnsi="Times New Roman"/>
          <w:sz w:val="22"/>
        </w:rPr>
        <w:t>C</w:t>
      </w:r>
      <w:r>
        <w:rPr>
          <w:rFonts w:ascii="Times New Roman" w:hAnsi="Times New Roman"/>
          <w:sz w:val="22"/>
        </w:rPr>
        <w:t xml:space="preserve">ondiciones </w:t>
      </w:r>
      <w:r w:rsidR="001C29C2">
        <w:rPr>
          <w:rFonts w:ascii="Times New Roman" w:hAnsi="Times New Roman"/>
          <w:sz w:val="22"/>
        </w:rPr>
        <w:t>G</w:t>
      </w:r>
      <w:r>
        <w:rPr>
          <w:rFonts w:ascii="Times New Roman" w:hAnsi="Times New Roman"/>
          <w:sz w:val="22"/>
        </w:rPr>
        <w:t xml:space="preserve">enerales y </w:t>
      </w:r>
      <w:r w:rsidR="001C29C2">
        <w:rPr>
          <w:rFonts w:ascii="Times New Roman" w:hAnsi="Times New Roman"/>
          <w:sz w:val="22"/>
        </w:rPr>
        <w:t>P</w:t>
      </w:r>
      <w:r>
        <w:rPr>
          <w:rFonts w:ascii="Times New Roman" w:hAnsi="Times New Roman"/>
          <w:sz w:val="22"/>
        </w:rPr>
        <w:t>articulares aplicables al contrato, como única base de este procedimiento de licitación, cualesquiera que sean sus propias condiciones de venta, a las que renuncian. Los licitadores deberán examinar atentamente todas las instrucciones, formularios, disposiciones contractuales y especificaciones de este expediente de licitación y atenerse a ellos. Se desestimarán las ofertas para las que el licitador no haya presentado en el plazo establecido toda la información y documentación requeridas. No se tendrá en cuenta ninguna observación expresada en la oferta con respecto al expediente de licitación; toda observación podrá dar lugar a la desestimación inmediata de la oferta, que no pasará a las fases siguientes de evaluación.</w:t>
      </w:r>
    </w:p>
    <w:p w:rsidR="00DA4D57" w:rsidRPr="00640E38" w:rsidRDefault="0047783A" w:rsidP="003051AA">
      <w:pPr>
        <w:pStyle w:val="Subtitle"/>
        <w:spacing w:before="0" w:after="0"/>
        <w:jc w:val="both"/>
        <w:rPr>
          <w:rFonts w:ascii="Times New Roman" w:hAnsi="Times New Roman"/>
          <w:sz w:val="22"/>
          <w:szCs w:val="22"/>
        </w:rPr>
      </w:pPr>
      <w:r>
        <w:rPr>
          <w:rFonts w:ascii="Times New Roman" w:hAnsi="Times New Roman"/>
          <w:sz w:val="22"/>
        </w:rPr>
        <w:t xml:space="preserve">En las presentes </w:t>
      </w:r>
      <w:r w:rsidR="001C29C2">
        <w:rPr>
          <w:rFonts w:ascii="Times New Roman" w:hAnsi="Times New Roman"/>
          <w:sz w:val="22"/>
        </w:rPr>
        <w:t>I</w:t>
      </w:r>
      <w:r>
        <w:rPr>
          <w:rFonts w:ascii="Times New Roman" w:hAnsi="Times New Roman"/>
          <w:sz w:val="22"/>
        </w:rPr>
        <w:t xml:space="preserve">nstrucciones se establecen las normas de presentación, selección y ejecución de los contratos financiadas en el marco de la presente licitación, de acuerdo con la Guía Práctica (disponible en internet: </w:t>
      </w:r>
      <w:hyperlink r:id="rId8">
        <w:r>
          <w:rPr>
            <w:rStyle w:val="Hyperlink"/>
            <w:rFonts w:ascii="Times New Roman" w:hAnsi="Times New Roman"/>
            <w:sz w:val="22"/>
          </w:rPr>
          <w:t>http://ec.europa.eu/europeaid/prag/document.do</w:t>
        </w:r>
      </w:hyperlink>
      <w:r>
        <w:rPr>
          <w:rFonts w:ascii="Times New Roman" w:hAnsi="Times New Roman"/>
          <w:sz w:val="22"/>
        </w:rPr>
        <w:t>).</w:t>
      </w:r>
    </w:p>
    <w:p w:rsidR="00DA4D57" w:rsidRPr="003051AA" w:rsidRDefault="00100085" w:rsidP="003051AA">
      <w:pPr>
        <w:pStyle w:val="Subtitle"/>
        <w:shd w:val="clear" w:color="auto" w:fill="FFFF00"/>
        <w:spacing w:after="240"/>
        <w:jc w:val="both"/>
        <w:rPr>
          <w:rFonts w:ascii="Times New Roman" w:hAnsi="Times New Roman"/>
          <w:b w:val="0"/>
          <w:sz w:val="22"/>
          <w:szCs w:val="22"/>
        </w:rPr>
      </w:pPr>
      <w:r>
        <w:rPr>
          <w:rFonts w:ascii="Times New Roman" w:hAnsi="Times New Roman"/>
          <w:sz w:val="22"/>
        </w:rPr>
        <w:t xml:space="preserve">Modo de completar las presentes instrucciones normalizadas para los licitadores. Insértese la información </w:t>
      </w:r>
      <w:r>
        <w:rPr>
          <w:rFonts w:ascii="Times New Roman" w:hAnsi="Times New Roman"/>
          <w:b w:val="0"/>
          <w:sz w:val="22"/>
        </w:rPr>
        <w:t>entre los signos &lt;&gt; con la información indicada para cada licitación. Los corchetes [ ] y las partes sombreadas en gris indican las opciones a elegir: deben incluirse cuando proceda, pero solo deben modificarse en casos excepcionales, dictados por las exigencias de una licitación específica.</w:t>
      </w:r>
      <w:r>
        <w:rPr>
          <w:rFonts w:ascii="Times New Roman" w:hAnsi="Times New Roman"/>
          <w:sz w:val="22"/>
        </w:rPr>
        <w:t xml:space="preserve"> Todas las demás partes de estas instrucciones normalizadas deben mantenerse sin ningún cambio. </w:t>
      </w:r>
      <w:r>
        <w:rPr>
          <w:rFonts w:ascii="Times New Roman" w:hAnsi="Times New Roman"/>
          <w:b w:val="0"/>
          <w:sz w:val="22"/>
        </w:rPr>
        <w:t>En la versión final de las instrucciones para los licitadores no olvide borrar este párrafo, así como cualquier otro texto con sombreado amarillo, ni suprimir todos los corchetes.</w:t>
      </w:r>
    </w:p>
    <w:p w:rsidR="0047783A" w:rsidRPr="00E82463" w:rsidRDefault="0047783A" w:rsidP="00710F13">
      <w:pPr>
        <w:pStyle w:val="Heading1"/>
      </w:pPr>
      <w:bookmarkStart w:id="2" w:name="_Toc42488070"/>
      <w:r>
        <w:t>Suministros que se proveerán</w:t>
      </w:r>
      <w:bookmarkEnd w:id="2"/>
    </w:p>
    <w:p w:rsidR="00BB0156" w:rsidRDefault="0047783A" w:rsidP="00D95C80">
      <w:pPr>
        <w:pStyle w:val="Heading2"/>
        <w:keepNext w:val="0"/>
        <w:numPr>
          <w:ilvl w:val="1"/>
          <w:numId w:val="2"/>
        </w:numPr>
        <w:jc w:val="both"/>
        <w:rPr>
          <w:rFonts w:ascii="Times New Roman" w:hAnsi="Times New Roman"/>
          <w:sz w:val="22"/>
        </w:rPr>
      </w:pPr>
      <w:r>
        <w:rPr>
          <w:rFonts w:ascii="Times New Roman" w:hAnsi="Times New Roman"/>
          <w:sz w:val="22"/>
        </w:rPr>
        <w:t>El objeto del contrato es</w:t>
      </w:r>
      <w:r w:rsidR="00BB0156">
        <w:rPr>
          <w:rFonts w:ascii="Times New Roman" w:hAnsi="Times New Roman"/>
          <w:sz w:val="22"/>
        </w:rPr>
        <w:t>:</w:t>
      </w:r>
    </w:p>
    <w:p w:rsidR="00BB0156" w:rsidRDefault="0047783A" w:rsidP="00D95C80">
      <w:pPr>
        <w:pStyle w:val="Heading2"/>
        <w:keepNext w:val="0"/>
        <w:ind w:left="567"/>
        <w:jc w:val="both"/>
        <w:rPr>
          <w:rFonts w:ascii="Times New Roman" w:hAnsi="Times New Roman"/>
          <w:sz w:val="22"/>
        </w:rPr>
      </w:pPr>
      <w:r>
        <w:rPr>
          <w:rFonts w:ascii="Times New Roman" w:hAnsi="Times New Roman"/>
          <w:sz w:val="22"/>
        </w:rPr>
        <w:t xml:space="preserve">el </w:t>
      </w:r>
      <w:r w:rsidR="00BB0156">
        <w:rPr>
          <w:rFonts w:ascii="Times New Roman" w:hAnsi="Times New Roman"/>
          <w:sz w:val="22"/>
        </w:rPr>
        <w:t>[</w:t>
      </w:r>
      <w:r w:rsidRPr="00D95C80">
        <w:rPr>
          <w:rFonts w:ascii="Times New Roman" w:hAnsi="Times New Roman"/>
          <w:sz w:val="22"/>
          <w:highlight w:val="lightGray"/>
        </w:rPr>
        <w:t>suministro</w:t>
      </w:r>
      <w:r w:rsidR="00BB0156">
        <w:rPr>
          <w:rFonts w:ascii="Times New Roman" w:hAnsi="Times New Roman"/>
          <w:sz w:val="22"/>
        </w:rPr>
        <w:t>]</w:t>
      </w:r>
      <w:r>
        <w:rPr>
          <w:rFonts w:ascii="Times New Roman" w:hAnsi="Times New Roman"/>
          <w:sz w:val="22"/>
        </w:rPr>
        <w:t>, [</w:t>
      </w:r>
      <w:r>
        <w:rPr>
          <w:rFonts w:ascii="Times New Roman" w:hAnsi="Times New Roman"/>
          <w:sz w:val="22"/>
          <w:highlight w:val="lightGray"/>
        </w:rPr>
        <w:t>la entrega</w:t>
      </w:r>
      <w:r>
        <w:rPr>
          <w:rFonts w:ascii="Times New Roman" w:hAnsi="Times New Roman"/>
          <w:sz w:val="22"/>
        </w:rPr>
        <w:t>]</w:t>
      </w:r>
      <w:r w:rsidR="00BB0156">
        <w:rPr>
          <w:rFonts w:ascii="Times New Roman" w:hAnsi="Times New Roman"/>
          <w:sz w:val="22"/>
        </w:rPr>
        <w:t>,</w:t>
      </w:r>
      <w:r>
        <w:rPr>
          <w:rFonts w:ascii="Times New Roman" w:hAnsi="Times New Roman"/>
          <w:sz w:val="22"/>
        </w:rPr>
        <w:t xml:space="preserve"> [</w:t>
      </w:r>
      <w:r>
        <w:rPr>
          <w:rFonts w:ascii="Times New Roman" w:hAnsi="Times New Roman"/>
          <w:sz w:val="22"/>
          <w:highlight w:val="lightGray"/>
        </w:rPr>
        <w:t>la descarga</w:t>
      </w:r>
      <w:r>
        <w:rPr>
          <w:rFonts w:ascii="Times New Roman" w:hAnsi="Times New Roman"/>
          <w:sz w:val="22"/>
        </w:rPr>
        <w:t>]</w:t>
      </w:r>
      <w:r w:rsidR="00BB0156">
        <w:rPr>
          <w:rFonts w:ascii="Times New Roman" w:hAnsi="Times New Roman"/>
          <w:sz w:val="22"/>
        </w:rPr>
        <w:t>,</w:t>
      </w:r>
      <w:r>
        <w:rPr>
          <w:rFonts w:ascii="Times New Roman" w:hAnsi="Times New Roman"/>
          <w:sz w:val="22"/>
        </w:rPr>
        <w:t xml:space="preserve"> [</w:t>
      </w:r>
      <w:r>
        <w:rPr>
          <w:rFonts w:ascii="Times New Roman" w:hAnsi="Times New Roman"/>
          <w:sz w:val="22"/>
          <w:highlight w:val="lightGray"/>
        </w:rPr>
        <w:t>la</w:t>
      </w:r>
      <w:r w:rsidR="00BB0156">
        <w:rPr>
          <w:rFonts w:ascii="Times New Roman" w:hAnsi="Times New Roman"/>
          <w:sz w:val="22"/>
          <w:highlight w:val="lightGray"/>
        </w:rPr>
        <w:t xml:space="preserve"> colocación e</w:t>
      </w:r>
      <w:r>
        <w:rPr>
          <w:rFonts w:ascii="Times New Roman" w:hAnsi="Times New Roman"/>
          <w:sz w:val="22"/>
          <w:highlight w:val="lightGray"/>
        </w:rPr>
        <w:t xml:space="preserve"> instalación</w:t>
      </w:r>
      <w:r>
        <w:rPr>
          <w:rFonts w:ascii="Times New Roman" w:hAnsi="Times New Roman"/>
          <w:sz w:val="22"/>
        </w:rPr>
        <w:t>]</w:t>
      </w:r>
      <w:r w:rsidR="00BB0156">
        <w:rPr>
          <w:rFonts w:ascii="Times New Roman" w:hAnsi="Times New Roman"/>
          <w:sz w:val="22"/>
        </w:rPr>
        <w:t>,</w:t>
      </w:r>
      <w:r>
        <w:rPr>
          <w:rFonts w:ascii="Times New Roman" w:hAnsi="Times New Roman"/>
          <w:sz w:val="22"/>
        </w:rPr>
        <w:t xml:space="preserve"> [</w:t>
      </w:r>
      <w:r>
        <w:rPr>
          <w:rFonts w:ascii="Times New Roman" w:hAnsi="Times New Roman"/>
          <w:sz w:val="22"/>
          <w:highlight w:val="lightGray"/>
        </w:rPr>
        <w:t>la puesta en servicio</w:t>
      </w:r>
      <w:r>
        <w:rPr>
          <w:rFonts w:ascii="Times New Roman" w:hAnsi="Times New Roman"/>
          <w:sz w:val="22"/>
        </w:rPr>
        <w:t xml:space="preserve">] </w:t>
      </w:r>
      <w:r w:rsidR="00BB0156">
        <w:rPr>
          <w:rFonts w:ascii="Times New Roman" w:hAnsi="Times New Roman"/>
        </w:rPr>
        <w:t xml:space="preserve">&lt; </w:t>
      </w:r>
      <w:r w:rsidR="00BB0156" w:rsidRPr="0067488A">
        <w:rPr>
          <w:rFonts w:ascii="Times New Roman" w:eastAsia="Calibri" w:hAnsi="Times New Roman"/>
          <w:snapToGrid/>
          <w:sz w:val="22"/>
          <w:szCs w:val="22"/>
          <w:highlight w:val="yellow"/>
          <w:lang w:eastAsia="en-US" w:bidi="ar-SA"/>
        </w:rPr>
        <w:t>y otras tareas específicamente requeridas por el contrato</w:t>
      </w:r>
      <w:r w:rsidR="00BB0156">
        <w:rPr>
          <w:rFonts w:ascii="Times New Roman" w:hAnsi="Times New Roman"/>
        </w:rPr>
        <w:t>&gt; [</w:t>
      </w:r>
      <w:r w:rsidR="00BB0156" w:rsidRPr="00BB0156">
        <w:rPr>
          <w:rFonts w:ascii="Times New Roman" w:eastAsia="Calibri" w:hAnsi="Times New Roman"/>
          <w:snapToGrid/>
          <w:sz w:val="22"/>
          <w:szCs w:val="22"/>
          <w:highlight w:val="lightGray"/>
          <w:lang w:eastAsia="en-US" w:bidi="ar-SA"/>
        </w:rPr>
        <w:t>diseño</w:t>
      </w:r>
      <w:r w:rsidR="00BB0156">
        <w:rPr>
          <w:rFonts w:ascii="Times New Roman" w:hAnsi="Times New Roman"/>
        </w:rPr>
        <w:t>], [</w:t>
      </w:r>
      <w:r w:rsidR="00BB0156" w:rsidRPr="00BB0156">
        <w:rPr>
          <w:rFonts w:ascii="Times New Roman" w:eastAsia="Calibri" w:hAnsi="Times New Roman"/>
          <w:snapToGrid/>
          <w:sz w:val="22"/>
          <w:szCs w:val="22"/>
          <w:highlight w:val="lightGray"/>
          <w:lang w:eastAsia="en-US" w:bidi="ar-SA"/>
        </w:rPr>
        <w:t>fabricación</w:t>
      </w:r>
      <w:r w:rsidR="00BB0156">
        <w:rPr>
          <w:rFonts w:ascii="Times New Roman" w:hAnsi="Times New Roman"/>
        </w:rPr>
        <w:t>]</w:t>
      </w:r>
      <w:r w:rsidR="00BB0156">
        <w:rPr>
          <w:rFonts w:ascii="Times New Roman" w:hAnsi="Times New Roman"/>
          <w:sz w:val="22"/>
        </w:rPr>
        <w:t xml:space="preserve">, </w:t>
      </w:r>
      <w:r>
        <w:rPr>
          <w:rFonts w:ascii="Times New Roman" w:hAnsi="Times New Roman"/>
          <w:sz w:val="22"/>
        </w:rPr>
        <w:t>[</w:t>
      </w:r>
      <w:r>
        <w:rPr>
          <w:rFonts w:ascii="Times New Roman" w:hAnsi="Times New Roman"/>
          <w:sz w:val="22"/>
          <w:highlight w:val="lightGray"/>
        </w:rPr>
        <w:t>el mantenimiento</w:t>
      </w:r>
      <w:r>
        <w:rPr>
          <w:rFonts w:ascii="Times New Roman" w:hAnsi="Times New Roman"/>
          <w:sz w:val="22"/>
        </w:rPr>
        <w:t>]</w:t>
      </w:r>
      <w:r w:rsidR="00BB0156">
        <w:rPr>
          <w:rFonts w:ascii="Times New Roman" w:hAnsi="Times New Roman"/>
          <w:sz w:val="22"/>
        </w:rPr>
        <w:t>,</w:t>
      </w:r>
      <w:r>
        <w:rPr>
          <w:rFonts w:ascii="Times New Roman" w:hAnsi="Times New Roman"/>
          <w:sz w:val="22"/>
        </w:rPr>
        <w:t xml:space="preserve"> [</w:t>
      </w:r>
      <w:r>
        <w:rPr>
          <w:rFonts w:ascii="Times New Roman" w:hAnsi="Times New Roman"/>
          <w:sz w:val="22"/>
          <w:highlight w:val="lightGray"/>
        </w:rPr>
        <w:t>el servicio posventa</w:t>
      </w:r>
      <w:r>
        <w:rPr>
          <w:rFonts w:ascii="Times New Roman" w:hAnsi="Times New Roman"/>
          <w:sz w:val="22"/>
        </w:rPr>
        <w:t>]</w:t>
      </w:r>
      <w:r w:rsidR="00BB0156">
        <w:rPr>
          <w:rFonts w:ascii="Times New Roman" w:hAnsi="Times New Roman"/>
          <w:sz w:val="22"/>
        </w:rPr>
        <w:t>,</w:t>
      </w:r>
      <w:r>
        <w:rPr>
          <w:rFonts w:ascii="Times New Roman" w:hAnsi="Times New Roman"/>
          <w:sz w:val="22"/>
        </w:rPr>
        <w:t xml:space="preserve"> </w:t>
      </w:r>
      <w:r w:rsidR="00BB0156">
        <w:rPr>
          <w:rFonts w:ascii="Times New Roman" w:hAnsi="Times New Roman"/>
          <w:sz w:val="22"/>
        </w:rPr>
        <w:t>[</w:t>
      </w:r>
      <w:r w:rsidR="00BB0156" w:rsidRPr="00D95C80">
        <w:rPr>
          <w:rFonts w:ascii="Times New Roman" w:hAnsi="Times New Roman"/>
          <w:sz w:val="22"/>
          <w:highlight w:val="lightGray"/>
        </w:rPr>
        <w:t>etc.</w:t>
      </w:r>
      <w:r w:rsidR="00BB0156">
        <w:rPr>
          <w:rFonts w:ascii="Times New Roman" w:hAnsi="Times New Roman"/>
          <w:sz w:val="22"/>
        </w:rPr>
        <w:t xml:space="preserve">] </w:t>
      </w:r>
    </w:p>
    <w:p w:rsidR="00BB0156" w:rsidRDefault="0047783A" w:rsidP="00D95C80">
      <w:pPr>
        <w:pStyle w:val="Heading2"/>
        <w:keepNext w:val="0"/>
        <w:spacing w:before="0"/>
        <w:ind w:left="567"/>
        <w:jc w:val="both"/>
        <w:rPr>
          <w:rFonts w:ascii="Times New Roman" w:hAnsi="Times New Roman"/>
          <w:sz w:val="22"/>
        </w:rPr>
      </w:pPr>
      <w:r>
        <w:rPr>
          <w:rFonts w:ascii="Times New Roman" w:hAnsi="Times New Roman"/>
          <w:sz w:val="22"/>
        </w:rPr>
        <w:t xml:space="preserve">de los siguientes </w:t>
      </w:r>
      <w:r w:rsidR="00BB0156">
        <w:rPr>
          <w:rFonts w:ascii="Times New Roman" w:hAnsi="Times New Roman"/>
          <w:sz w:val="22"/>
        </w:rPr>
        <w:t>suministros:</w:t>
      </w:r>
    </w:p>
    <w:p w:rsidR="0047783A" w:rsidRPr="00E82463" w:rsidRDefault="0047783A" w:rsidP="00D95C80">
      <w:pPr>
        <w:pStyle w:val="Heading2"/>
        <w:keepNext w:val="0"/>
        <w:ind w:left="567"/>
        <w:jc w:val="both"/>
        <w:rPr>
          <w:rFonts w:ascii="Times New Roman" w:hAnsi="Times New Roman"/>
        </w:rPr>
      </w:pPr>
      <w:r>
        <w:rPr>
          <w:rFonts w:ascii="Times New Roman" w:hAnsi="Times New Roman"/>
          <w:sz w:val="22"/>
          <w:highlight w:val="yellow"/>
        </w:rPr>
        <w:t>(si están divididos en lotes, especifíquese por lote)</w:t>
      </w:r>
      <w:r>
        <w:rPr>
          <w:rFonts w:ascii="Times New Roman" w:hAnsi="Times New Roman"/>
          <w:sz w:val="22"/>
        </w:rPr>
        <w:t>:</w:t>
      </w:r>
    </w:p>
    <w:p w:rsidR="0047783A" w:rsidRPr="00E82463" w:rsidRDefault="00DA4D57" w:rsidP="00E82463">
      <w:pPr>
        <w:ind w:left="567"/>
        <w:rPr>
          <w:rFonts w:ascii="Times New Roman" w:hAnsi="Times New Roman"/>
          <w:sz w:val="22"/>
        </w:rPr>
      </w:pPr>
      <w:r>
        <w:rPr>
          <w:rFonts w:ascii="Times New Roman" w:hAnsi="Times New Roman"/>
          <w:sz w:val="22"/>
        </w:rPr>
        <w:t>&lt;</w:t>
      </w:r>
      <w:r>
        <w:rPr>
          <w:rFonts w:ascii="Times New Roman" w:hAnsi="Times New Roman"/>
          <w:sz w:val="22"/>
          <w:highlight w:val="yellow"/>
        </w:rPr>
        <w:t>descripción general de los suministros e indicación de la cantidad</w:t>
      </w:r>
      <w:r>
        <w:rPr>
          <w:rFonts w:ascii="Times New Roman" w:hAnsi="Times New Roman"/>
          <w:sz w:val="22"/>
        </w:rPr>
        <w:t>&gt;</w:t>
      </w:r>
    </w:p>
    <w:p w:rsidR="00DA4D57" w:rsidRDefault="00DA4D57" w:rsidP="00E82463">
      <w:pPr>
        <w:ind w:left="567"/>
        <w:jc w:val="both"/>
        <w:rPr>
          <w:rFonts w:ascii="Times New Roman" w:hAnsi="Times New Roman"/>
          <w:sz w:val="22"/>
        </w:rPr>
      </w:pPr>
      <w:r>
        <w:rPr>
          <w:rFonts w:ascii="Times New Roman" w:hAnsi="Times New Roman"/>
          <w:sz w:val="22"/>
        </w:rPr>
        <w:t>[</w:t>
      </w:r>
      <w:r>
        <w:rPr>
          <w:rFonts w:ascii="Times New Roman" w:hAnsi="Times New Roman"/>
          <w:sz w:val="22"/>
          <w:highlight w:val="lightGray"/>
        </w:rPr>
        <w:t>en &lt;</w:t>
      </w:r>
      <w:r>
        <w:rPr>
          <w:rFonts w:ascii="Times New Roman" w:hAnsi="Times New Roman"/>
          <w:sz w:val="22"/>
          <w:highlight w:val="yellow"/>
        </w:rPr>
        <w:t>insertar número</w:t>
      </w:r>
      <w:r>
        <w:rPr>
          <w:rFonts w:ascii="Times New Roman" w:hAnsi="Times New Roman"/>
          <w:sz w:val="22"/>
          <w:highlight w:val="lightGray"/>
        </w:rPr>
        <w:t>&gt; lote[s]</w:t>
      </w:r>
      <w:r>
        <w:rPr>
          <w:rFonts w:ascii="Times New Roman" w:hAnsi="Times New Roman"/>
          <w:sz w:val="22"/>
        </w:rPr>
        <w:t xml:space="preserve">] </w:t>
      </w:r>
    </w:p>
    <w:p w:rsidR="0047783A" w:rsidRPr="00E82463" w:rsidRDefault="00DA4D57" w:rsidP="00E82463">
      <w:pPr>
        <w:ind w:left="567"/>
        <w:jc w:val="both"/>
        <w:rPr>
          <w:rFonts w:ascii="Times New Roman" w:hAnsi="Times New Roman"/>
          <w:sz w:val="22"/>
        </w:rPr>
      </w:pPr>
      <w:r>
        <w:rPr>
          <w:rFonts w:ascii="Times New Roman" w:hAnsi="Times New Roman"/>
          <w:sz w:val="22"/>
        </w:rPr>
        <w:t>[</w:t>
      </w:r>
      <w:r>
        <w:rPr>
          <w:rFonts w:ascii="Times New Roman" w:hAnsi="Times New Roman"/>
          <w:sz w:val="22"/>
          <w:highlight w:val="lightGray"/>
        </w:rPr>
        <w:t>en]</w:t>
      </w:r>
      <w:r>
        <w:rPr>
          <w:rFonts w:ascii="Times New Roman" w:hAnsi="Times New Roman"/>
          <w:sz w:val="22"/>
        </w:rPr>
        <w:t xml:space="preserve"> </w:t>
      </w:r>
      <w:r>
        <w:rPr>
          <w:rFonts w:ascii="Times New Roman" w:hAnsi="Times New Roman"/>
          <w:sz w:val="22"/>
          <w:highlight w:val="yellow"/>
        </w:rPr>
        <w:t>&lt;indíquese el lugar o lugares en que se deban entregar los suministros</w:t>
      </w:r>
      <w:r>
        <w:rPr>
          <w:rFonts w:ascii="Times New Roman" w:hAnsi="Times New Roman"/>
          <w:sz w:val="22"/>
        </w:rPr>
        <w:t xml:space="preserve">&gt; </w:t>
      </w:r>
      <w:r>
        <w:rPr>
          <w:rFonts w:ascii="Times New Roman" w:hAnsi="Times New Roman"/>
          <w:sz w:val="22"/>
          <w:highlight w:val="lightGray"/>
        </w:rPr>
        <w:t>[DDP] [DAP]</w:t>
      </w:r>
      <w:r>
        <w:rPr>
          <w:rStyle w:val="FootnoteReference"/>
          <w:rFonts w:ascii="Times New Roman" w:hAnsi="Times New Roman"/>
          <w:sz w:val="22"/>
          <w:highlight w:val="lightGray"/>
        </w:rPr>
        <w:footnoteReference w:id="1"/>
      </w:r>
      <w:r>
        <w:rPr>
          <w:rFonts w:ascii="Times New Roman" w:hAnsi="Times New Roman"/>
          <w:sz w:val="22"/>
          <w:highlight w:val="lightGray"/>
        </w:rPr>
        <w:t>,</w:t>
      </w:r>
      <w:r>
        <w:rPr>
          <w:rFonts w:ascii="Times New Roman" w:hAnsi="Times New Roman"/>
          <w:sz w:val="22"/>
        </w:rPr>
        <w:t xml:space="preserve"> </w:t>
      </w:r>
      <w:r>
        <w:rPr>
          <w:rFonts w:ascii="Times New Roman" w:hAnsi="Times New Roman"/>
          <w:sz w:val="22"/>
          <w:highlight w:val="yellow"/>
        </w:rPr>
        <w:t xml:space="preserve">y &lt;el </w:t>
      </w:r>
      <w:r w:rsidR="00CD7BFB">
        <w:rPr>
          <w:rFonts w:ascii="Times New Roman" w:hAnsi="Times New Roman"/>
          <w:sz w:val="22"/>
          <w:highlight w:val="yellow"/>
        </w:rPr>
        <w:t>período</w:t>
      </w:r>
      <w:r>
        <w:rPr>
          <w:rFonts w:ascii="Times New Roman" w:hAnsi="Times New Roman"/>
          <w:sz w:val="22"/>
          <w:highlight w:val="yellow"/>
        </w:rPr>
        <w:t xml:space="preserve"> de ejecución en número de días, de conformidad con el anuncio de contrato</w:t>
      </w:r>
      <w:r w:rsidR="00670A52">
        <w:rPr>
          <w:rFonts w:ascii="Times New Roman" w:hAnsi="Times New Roman"/>
          <w:sz w:val="22"/>
          <w:highlight w:val="yellow"/>
        </w:rPr>
        <w:t>/información adicional sobre el anuncio de contrato</w:t>
      </w:r>
      <w:r>
        <w:rPr>
          <w:rFonts w:ascii="Times New Roman" w:hAnsi="Times New Roman"/>
          <w:sz w:val="22"/>
          <w:highlight w:val="yellow"/>
        </w:rPr>
        <w:t>&gt;.</w:t>
      </w:r>
    </w:p>
    <w:p w:rsidR="0047783A" w:rsidRPr="00E82463" w:rsidRDefault="00E82463" w:rsidP="00E82463">
      <w:pPr>
        <w:pStyle w:val="Heading2"/>
        <w:keepNext w:val="0"/>
        <w:ind w:left="567" w:hanging="567"/>
        <w:jc w:val="both"/>
        <w:rPr>
          <w:rFonts w:ascii="Times New Roman" w:hAnsi="Times New Roman"/>
          <w:sz w:val="22"/>
        </w:rPr>
      </w:pPr>
      <w:bookmarkStart w:id="3" w:name="_Ref499723935"/>
      <w:bookmarkStart w:id="4" w:name="_Ref500330319"/>
      <w:r>
        <w:rPr>
          <w:rFonts w:ascii="Times New Roman" w:hAnsi="Times New Roman"/>
          <w:sz w:val="22"/>
        </w:rPr>
        <w:t>1.2</w:t>
      </w:r>
      <w:r>
        <w:tab/>
      </w:r>
      <w:r>
        <w:rPr>
          <w:rFonts w:ascii="Times New Roman" w:hAnsi="Times New Roman"/>
          <w:sz w:val="22"/>
        </w:rPr>
        <w:t>Los suministros deben conformarse enteramente a las especificaciones técnicas del expediente de licitación (anexo técnico) y ajustarse en todos los aspectos a los planos, cantidades, modelos, muestras, medidas y demás instrucciones.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rPr>
      </w:pPr>
      <w:r>
        <w:rPr>
          <w:rFonts w:ascii="Times New Roman" w:hAnsi="Times New Roman"/>
          <w:sz w:val="22"/>
        </w:rPr>
        <w:t>1.3</w:t>
      </w:r>
      <w:r>
        <w:tab/>
      </w:r>
      <w:r>
        <w:rPr>
          <w:rFonts w:ascii="Times New Roman" w:hAnsi="Times New Roman"/>
          <w:sz w:val="22"/>
        </w:rPr>
        <w:t>[</w:t>
      </w:r>
      <w:r>
        <w:rPr>
          <w:rFonts w:ascii="Times New Roman" w:hAnsi="Times New Roman"/>
          <w:sz w:val="22"/>
          <w:highlight w:val="lightGray"/>
        </w:rPr>
        <w:t>Los suministros descritos en el/los lote[s] &lt;</w:t>
      </w:r>
      <w:r>
        <w:rPr>
          <w:rFonts w:ascii="Times New Roman" w:hAnsi="Times New Roman"/>
          <w:sz w:val="22"/>
          <w:highlight w:val="yellow"/>
        </w:rPr>
        <w:t>insertar número</w:t>
      </w:r>
      <w:r>
        <w:rPr>
          <w:rFonts w:ascii="Times New Roman" w:hAnsi="Times New Roman"/>
          <w:sz w:val="22"/>
          <w:highlight w:val="lightGray"/>
        </w:rPr>
        <w:t xml:space="preserve">&gt; deben ir acompañados de un «lote» adicional compuesto por piezas de repuesto o bienes fungibles. Ni el precio unitario ni </w:t>
      </w:r>
      <w:r>
        <w:rPr>
          <w:rFonts w:ascii="Times New Roman" w:hAnsi="Times New Roman"/>
          <w:sz w:val="22"/>
          <w:highlight w:val="lightGray"/>
        </w:rPr>
        <w:lastRenderedPageBreak/>
        <w:t>el precio global de las piezas de repuesto se tendrán en cuenta al evaluar las ofertas, salvo si varían sustancialmente entre las ofertas recibidas. Los licitadores elaborarán las listas de las piezas de repuesto teniendo en cuenta su experiencia profesional y los lugares donde vayan a utilizarse; las listas deberán indicar el precio unitario de las piezas, calculado con arreglo a la cláusula 11. El Órgano de Contratación se reserva el derecho de modificar la lista de piezas de repuesto, en cuyo caso los cambios se harán constar en el contrato.</w:t>
      </w:r>
      <w:r>
        <w:rPr>
          <w:rFonts w:ascii="Times New Roman" w:hAnsi="Times New Roman"/>
          <w:sz w:val="22"/>
        </w:rPr>
        <w:t>]</w:t>
      </w:r>
    </w:p>
    <w:p w:rsidR="00CD7BFB" w:rsidRDefault="0047783A" w:rsidP="001C29C2">
      <w:pPr>
        <w:pStyle w:val="Heading2"/>
        <w:ind w:left="567" w:hanging="567"/>
        <w:jc w:val="both"/>
        <w:rPr>
          <w:rFonts w:ascii="Times New Roman" w:hAnsi="Times New Roman"/>
          <w:sz w:val="22"/>
        </w:rPr>
      </w:pPr>
      <w:r>
        <w:rPr>
          <w:rFonts w:ascii="Times New Roman" w:hAnsi="Times New Roman"/>
          <w:sz w:val="22"/>
        </w:rPr>
        <w:t xml:space="preserve">1.4 </w:t>
      </w:r>
      <w:r>
        <w:tab/>
      </w:r>
      <w:r>
        <w:rPr>
          <w:rFonts w:ascii="Times New Roman" w:hAnsi="Times New Roman"/>
          <w:sz w:val="22"/>
          <w:highlight w:val="lightGray"/>
        </w:rPr>
        <w:t xml:space="preserve">[Los licitadores no podrán presentar ofertas para una </w:t>
      </w:r>
      <w:r w:rsidR="00064E91">
        <w:rPr>
          <w:rFonts w:ascii="Times New Roman" w:hAnsi="Times New Roman"/>
          <w:sz w:val="22"/>
          <w:highlight w:val="lightGray"/>
        </w:rPr>
        <w:t>variante</w:t>
      </w:r>
      <w:r>
        <w:rPr>
          <w:rFonts w:ascii="Times New Roman" w:hAnsi="Times New Roman"/>
          <w:sz w:val="22"/>
          <w:highlight w:val="lightGray"/>
        </w:rPr>
        <w:t xml:space="preserve"> como complemento de la presente</w:t>
      </w:r>
      <w:r w:rsidR="006D22ED">
        <w:rPr>
          <w:rFonts w:ascii="Times New Roman" w:hAnsi="Times New Roman"/>
          <w:sz w:val="22"/>
          <w:highlight w:val="lightGray"/>
        </w:rPr>
        <w:t>]</w:t>
      </w:r>
      <w:r>
        <w:rPr>
          <w:rFonts w:ascii="Times New Roman" w:hAnsi="Times New Roman"/>
          <w:sz w:val="22"/>
          <w:highlight w:val="lightGray"/>
        </w:rPr>
        <w:t xml:space="preserve"> oferta.]</w:t>
      </w:r>
      <w:r>
        <w:rPr>
          <w:rFonts w:ascii="Times New Roman" w:hAnsi="Times New Roman"/>
          <w:sz w:val="22"/>
        </w:rPr>
        <w:t xml:space="preserve"> </w:t>
      </w:r>
    </w:p>
    <w:p w:rsidR="0047783A" w:rsidRPr="00E82463" w:rsidRDefault="00CD7BFB" w:rsidP="001C29C2">
      <w:pPr>
        <w:pStyle w:val="Heading2"/>
        <w:ind w:left="567" w:hanging="567"/>
        <w:jc w:val="both"/>
        <w:rPr>
          <w:rFonts w:ascii="Times New Roman" w:hAnsi="Times New Roman"/>
          <w:sz w:val="22"/>
        </w:rPr>
      </w:pPr>
      <w:r w:rsidRPr="00CD7BFB">
        <w:rPr>
          <w:rFonts w:ascii="Times New Roman" w:hAnsi="Times New Roman"/>
          <w:sz w:val="22"/>
        </w:rPr>
        <w:tab/>
      </w:r>
      <w:r w:rsidR="0047783A">
        <w:rPr>
          <w:rFonts w:ascii="Times New Roman" w:hAnsi="Times New Roman"/>
          <w:sz w:val="22"/>
          <w:highlight w:val="yellow"/>
        </w:rPr>
        <w:t xml:space="preserve">O, si se permiten </w:t>
      </w:r>
      <w:r w:rsidR="00F6260B">
        <w:rPr>
          <w:rFonts w:ascii="Times New Roman" w:hAnsi="Times New Roman"/>
          <w:sz w:val="22"/>
          <w:highlight w:val="yellow"/>
        </w:rPr>
        <w:t>Variantes</w:t>
      </w:r>
      <w:r w:rsidR="0047783A">
        <w:rPr>
          <w:rFonts w:ascii="Times New Roman" w:hAnsi="Times New Roman"/>
          <w:sz w:val="22"/>
          <w:highlight w:val="yellow"/>
        </w:rPr>
        <w:t xml:space="preserve"> de un precio superior al de la oferta ganadora, siempre que se conceda una excepción para un criterio de adjudicación diferente:</w:t>
      </w:r>
      <w:r w:rsidR="0047783A">
        <w:rPr>
          <w:rFonts w:ascii="Times New Roman" w:hAnsi="Times New Roman"/>
          <w:sz w:val="22"/>
        </w:rPr>
        <w:t xml:space="preserve"> </w:t>
      </w:r>
      <w:r w:rsidR="0047783A">
        <w:rPr>
          <w:rFonts w:ascii="Times New Roman" w:hAnsi="Times New Roman"/>
          <w:sz w:val="22"/>
          <w:highlight w:val="lightGray"/>
        </w:rPr>
        <w:t xml:space="preserve">[Los licitadores no podrán presentar ofertas para una </w:t>
      </w:r>
      <w:r w:rsidR="00064E91">
        <w:rPr>
          <w:rFonts w:ascii="Times New Roman" w:hAnsi="Times New Roman"/>
          <w:sz w:val="22"/>
          <w:highlight w:val="lightGray"/>
        </w:rPr>
        <w:t>variante</w:t>
      </w:r>
      <w:r w:rsidR="0047783A">
        <w:rPr>
          <w:rFonts w:ascii="Times New Roman" w:hAnsi="Times New Roman"/>
          <w:sz w:val="22"/>
          <w:highlight w:val="lightGray"/>
        </w:rPr>
        <w:t xml:space="preserve"> como complemento de la presente oferta.] Véase </w:t>
      </w:r>
      <w:r>
        <w:rPr>
          <w:rFonts w:ascii="Times New Roman" w:hAnsi="Times New Roman"/>
          <w:sz w:val="22"/>
          <w:highlight w:val="lightGray"/>
        </w:rPr>
        <w:t>el</w:t>
      </w:r>
      <w:r w:rsidR="0047783A">
        <w:rPr>
          <w:rFonts w:ascii="Times New Roman" w:hAnsi="Times New Roman"/>
          <w:sz w:val="22"/>
          <w:highlight w:val="lightGray"/>
        </w:rPr>
        <w:t xml:space="preserve"> </w:t>
      </w:r>
      <w:r>
        <w:rPr>
          <w:rFonts w:ascii="Times New Roman" w:hAnsi="Times New Roman"/>
          <w:sz w:val="22"/>
          <w:highlight w:val="lightGray"/>
        </w:rPr>
        <w:t xml:space="preserve">apartado </w:t>
      </w:r>
      <w:r w:rsidR="0047783A">
        <w:rPr>
          <w:rFonts w:ascii="Times New Roman" w:hAnsi="Times New Roman"/>
          <w:sz w:val="22"/>
          <w:highlight w:val="lightGray"/>
        </w:rPr>
        <w:t>20.5]</w:t>
      </w:r>
    </w:p>
    <w:p w:rsidR="0047783A" w:rsidRPr="00E82463" w:rsidRDefault="0047783A" w:rsidP="00710F13">
      <w:pPr>
        <w:pStyle w:val="Heading1"/>
      </w:pPr>
      <w:bookmarkStart w:id="5" w:name="_Toc42488071"/>
      <w:r>
        <w:t>Calendario</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Pr>
                <w:rFonts w:ascii="Times New Roman" w:hAnsi="Times New Roman"/>
                <w:b/>
                <w:sz w:val="18"/>
              </w:rPr>
              <w:t>FECHA</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Pr>
                <w:rFonts w:ascii="Times New Roman" w:hAnsi="Times New Roman"/>
                <w:b/>
                <w:sz w:val="18"/>
              </w:rPr>
              <w:t>HORA*</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Pr>
                <w:rFonts w:ascii="Times New Roman" w:hAnsi="Times New Roman"/>
                <w:b/>
                <w:sz w:val="22"/>
              </w:rPr>
              <w:t>Reunión aclaratoria / visita sobre el terreno (si procede)</w:t>
            </w:r>
          </w:p>
        </w:tc>
        <w:tc>
          <w:tcPr>
            <w:tcW w:w="2410" w:type="dxa"/>
          </w:tcPr>
          <w:p w:rsidR="0047783A" w:rsidRPr="00E82463" w:rsidRDefault="00DA4D57" w:rsidP="00A4424B">
            <w:pPr>
              <w:jc w:val="center"/>
              <w:rPr>
                <w:rFonts w:ascii="Times New Roman" w:hAnsi="Times New Roman"/>
                <w:sz w:val="22"/>
              </w:rPr>
            </w:pPr>
            <w:r>
              <w:rPr>
                <w:rFonts w:ascii="Times New Roman" w:hAnsi="Times New Roman"/>
                <w:sz w:val="22"/>
              </w:rPr>
              <w:t>[&lt;</w:t>
            </w:r>
            <w:r>
              <w:rPr>
                <w:rFonts w:ascii="Times New Roman" w:hAnsi="Times New Roman"/>
                <w:sz w:val="22"/>
                <w:highlight w:val="yellow"/>
              </w:rPr>
              <w:t>Fecha</w:t>
            </w:r>
            <w:r>
              <w:rPr>
                <w:rFonts w:ascii="Times New Roman" w:hAnsi="Times New Roman"/>
                <w:sz w:val="22"/>
              </w:rPr>
              <w:t>&gt;] [</w:t>
            </w:r>
            <w:r>
              <w:rPr>
                <w:rFonts w:ascii="Times New Roman" w:hAnsi="Times New Roman"/>
                <w:sz w:val="22"/>
                <w:highlight w:val="lightGray"/>
              </w:rPr>
              <w:t>No procede</w:t>
            </w:r>
            <w:r>
              <w:rPr>
                <w:rFonts w:ascii="Times New Roman" w:hAnsi="Times New Roman"/>
                <w:sz w:val="22"/>
              </w:rPr>
              <w:t>]</w:t>
            </w:r>
          </w:p>
        </w:tc>
        <w:tc>
          <w:tcPr>
            <w:tcW w:w="2268" w:type="dxa"/>
          </w:tcPr>
          <w:p w:rsidR="0047783A" w:rsidRPr="00E82463" w:rsidRDefault="00DA4D57" w:rsidP="00A4424B">
            <w:pPr>
              <w:jc w:val="center"/>
              <w:rPr>
                <w:rFonts w:ascii="Times New Roman" w:hAnsi="Times New Roman"/>
                <w:sz w:val="22"/>
              </w:rPr>
            </w:pPr>
            <w:r>
              <w:rPr>
                <w:rFonts w:ascii="Times New Roman" w:hAnsi="Times New Roman"/>
                <w:sz w:val="22"/>
              </w:rPr>
              <w:t>[&lt;</w:t>
            </w:r>
            <w:r>
              <w:rPr>
                <w:rFonts w:ascii="Times New Roman" w:hAnsi="Times New Roman"/>
                <w:sz w:val="22"/>
                <w:highlight w:val="yellow"/>
              </w:rPr>
              <w:t>Hora</w:t>
            </w:r>
            <w:r>
              <w:rPr>
                <w:rFonts w:ascii="Times New Roman" w:hAnsi="Times New Roman"/>
                <w:sz w:val="22"/>
              </w:rPr>
              <w:t>&gt;] [</w:t>
            </w:r>
            <w:r>
              <w:rPr>
                <w:rFonts w:ascii="Times New Roman" w:hAnsi="Times New Roman"/>
                <w:sz w:val="22"/>
                <w:highlight w:val="lightGray"/>
              </w:rPr>
              <w:t>No procede</w:t>
            </w:r>
            <w:r>
              <w:rPr>
                <w:rFonts w:ascii="Times New Roman" w:hAnsi="Times New Roman"/>
                <w:sz w:val="22"/>
              </w:rPr>
              <w:t>]</w:t>
            </w:r>
          </w:p>
        </w:tc>
      </w:tr>
      <w:tr w:rsidR="0047783A" w:rsidRPr="00E82463" w:rsidTr="00A4424B">
        <w:tc>
          <w:tcPr>
            <w:tcW w:w="3969" w:type="dxa"/>
            <w:shd w:val="pct10" w:color="auto" w:fill="FFFFFF"/>
          </w:tcPr>
          <w:p w:rsidR="0047783A" w:rsidRPr="00E82463" w:rsidRDefault="00CD7BFB" w:rsidP="00CD7BFB">
            <w:pPr>
              <w:keepNext/>
              <w:rPr>
                <w:rFonts w:ascii="Times New Roman" w:hAnsi="Times New Roman"/>
                <w:b/>
                <w:sz w:val="22"/>
              </w:rPr>
            </w:pPr>
            <w:r>
              <w:rPr>
                <w:rFonts w:ascii="Times New Roman" w:hAnsi="Times New Roman"/>
                <w:b/>
                <w:sz w:val="22"/>
              </w:rPr>
              <w:t xml:space="preserve">Plazo </w:t>
            </w:r>
            <w:r w:rsidR="0047783A">
              <w:rPr>
                <w:rFonts w:ascii="Times New Roman" w:hAnsi="Times New Roman"/>
                <w:b/>
                <w:sz w:val="22"/>
              </w:rPr>
              <w:t>para solicitar aclaraciones al Órgano de Contratación</w:t>
            </w:r>
          </w:p>
        </w:tc>
        <w:tc>
          <w:tcPr>
            <w:tcW w:w="2410" w:type="dxa"/>
          </w:tcPr>
          <w:p w:rsidR="0047783A" w:rsidRPr="00E82463" w:rsidRDefault="0047783A" w:rsidP="0047783A">
            <w:pP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Fecha 21 días </w:t>
            </w:r>
            <w:r w:rsidR="00CD7BFB">
              <w:rPr>
                <w:rFonts w:ascii="Times New Roman" w:hAnsi="Times New Roman"/>
                <w:sz w:val="22"/>
                <w:highlight w:val="yellow"/>
              </w:rPr>
              <w:t xml:space="preserve">antes de que finalice el plazo </w:t>
            </w:r>
            <w:r>
              <w:rPr>
                <w:rFonts w:ascii="Times New Roman" w:hAnsi="Times New Roman"/>
                <w:sz w:val="22"/>
                <w:highlight w:val="yellow"/>
              </w:rPr>
              <w:t xml:space="preserve"> de presentación de las ofertas</w:t>
            </w:r>
            <w:r>
              <w:rPr>
                <w:rFonts w:ascii="Times New Roman" w:hAnsi="Times New Roman"/>
                <w:sz w:val="22"/>
              </w:rPr>
              <w:t xml:space="preserve"> &gt;</w:t>
            </w:r>
          </w:p>
        </w:tc>
        <w:tc>
          <w:tcPr>
            <w:tcW w:w="2268" w:type="dxa"/>
          </w:tcPr>
          <w:p w:rsidR="0047783A" w:rsidRPr="00E82463" w:rsidRDefault="0047783A" w:rsidP="00A4424B">
            <w:pPr>
              <w:jc w:val="cente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Hora</w:t>
            </w:r>
            <w:r>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CD7BFB" w:rsidP="00CD7BFB">
            <w:pPr>
              <w:rPr>
                <w:rFonts w:ascii="Times New Roman" w:hAnsi="Times New Roman"/>
                <w:b/>
                <w:sz w:val="22"/>
              </w:rPr>
            </w:pPr>
            <w:r>
              <w:rPr>
                <w:rFonts w:ascii="Times New Roman" w:hAnsi="Times New Roman"/>
                <w:b/>
                <w:sz w:val="22"/>
              </w:rPr>
              <w:t xml:space="preserve">Plazo </w:t>
            </w:r>
            <w:r w:rsidR="0047783A">
              <w:rPr>
                <w:rFonts w:ascii="Times New Roman" w:hAnsi="Times New Roman"/>
                <w:b/>
                <w:sz w:val="22"/>
              </w:rPr>
              <w:t>para la comunicación de aclaraciones por el Órgano de Contratación</w:t>
            </w:r>
          </w:p>
        </w:tc>
        <w:tc>
          <w:tcPr>
            <w:tcW w:w="2410" w:type="dxa"/>
          </w:tcPr>
          <w:p w:rsidR="0047783A" w:rsidRPr="00E82463" w:rsidRDefault="0047783A" w:rsidP="0047783A">
            <w:pP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Fecha 11 días </w:t>
            </w:r>
            <w:r w:rsidR="00CD7BFB">
              <w:rPr>
                <w:rFonts w:ascii="Times New Roman" w:hAnsi="Times New Roman"/>
                <w:sz w:val="22"/>
                <w:highlight w:val="yellow"/>
              </w:rPr>
              <w:t xml:space="preserve">antes de que finalice el plazo </w:t>
            </w:r>
            <w:r>
              <w:rPr>
                <w:rFonts w:ascii="Times New Roman" w:hAnsi="Times New Roman"/>
                <w:sz w:val="22"/>
                <w:highlight w:val="yellow"/>
              </w:rPr>
              <w:t xml:space="preserve"> de presentación de las ofertas</w:t>
            </w:r>
            <w:r>
              <w:rPr>
                <w:rFonts w:ascii="Times New Roman" w:hAnsi="Times New Roman"/>
                <w:sz w:val="22"/>
              </w:rPr>
              <w:t xml:space="preserve"> &gt;</w:t>
            </w:r>
          </w:p>
        </w:tc>
        <w:tc>
          <w:tcPr>
            <w:tcW w:w="2268" w:type="dxa"/>
          </w:tcPr>
          <w:p w:rsidR="0047783A" w:rsidRPr="00E82463" w:rsidRDefault="0047783A" w:rsidP="00A4424B">
            <w:pPr>
              <w:jc w:val="center"/>
              <w:rPr>
                <w:rFonts w:ascii="Times New Roman" w:hAnsi="Times New Roman"/>
                <w:sz w:val="22"/>
              </w:rPr>
            </w:pPr>
            <w:r>
              <w:rPr>
                <w:rFonts w:ascii="Times New Roman" w:hAnsi="Times New Roman"/>
                <w:sz w:val="22"/>
              </w:rPr>
              <w:t>-</w:t>
            </w:r>
          </w:p>
        </w:tc>
      </w:tr>
      <w:tr w:rsidR="0047783A" w:rsidRPr="00E82463" w:rsidTr="00A4424B">
        <w:tc>
          <w:tcPr>
            <w:tcW w:w="3969" w:type="dxa"/>
            <w:shd w:val="pct10" w:color="auto" w:fill="FFFFFF"/>
          </w:tcPr>
          <w:p w:rsidR="0047783A" w:rsidRPr="00E82463" w:rsidRDefault="00CD7BFB" w:rsidP="00CD7BFB">
            <w:pPr>
              <w:jc w:val="both"/>
              <w:rPr>
                <w:rFonts w:ascii="Times New Roman" w:hAnsi="Times New Roman"/>
                <w:b/>
                <w:sz w:val="22"/>
              </w:rPr>
            </w:pPr>
            <w:r>
              <w:rPr>
                <w:rFonts w:ascii="Times New Roman" w:hAnsi="Times New Roman"/>
                <w:b/>
                <w:sz w:val="22"/>
              </w:rPr>
              <w:t>Plazo</w:t>
            </w:r>
            <w:r w:rsidR="0047783A">
              <w:rPr>
                <w:rFonts w:ascii="Times New Roman" w:hAnsi="Times New Roman"/>
                <w:b/>
                <w:sz w:val="22"/>
              </w:rPr>
              <w:t xml:space="preserve"> </w:t>
            </w:r>
            <w:r w:rsidR="001C29C2">
              <w:rPr>
                <w:rFonts w:ascii="Times New Roman" w:hAnsi="Times New Roman"/>
                <w:b/>
                <w:sz w:val="22"/>
              </w:rPr>
              <w:t>de</w:t>
            </w:r>
            <w:r w:rsidR="0047783A">
              <w:rPr>
                <w:rFonts w:ascii="Times New Roman" w:hAnsi="Times New Roman"/>
                <w:b/>
                <w:sz w:val="22"/>
              </w:rPr>
              <w:t xml:space="preserve"> presentación de ofertas</w:t>
            </w:r>
          </w:p>
        </w:tc>
        <w:tc>
          <w:tcPr>
            <w:tcW w:w="2410" w:type="dxa"/>
          </w:tcPr>
          <w:p w:rsidR="0047783A" w:rsidRPr="00E82463" w:rsidRDefault="0047783A" w:rsidP="0047783A">
            <w:pPr>
              <w:rPr>
                <w:rFonts w:ascii="Times New Roman" w:hAnsi="Times New Roman"/>
                <w:sz w:val="22"/>
              </w:rPr>
            </w:pPr>
            <w:r>
              <w:rPr>
                <w:rFonts w:ascii="Times New Roman" w:hAnsi="Times New Roman"/>
                <w:sz w:val="22"/>
              </w:rPr>
              <w:t>&lt;</w:t>
            </w:r>
            <w:r>
              <w:rPr>
                <w:rFonts w:ascii="Times New Roman" w:hAnsi="Times New Roman"/>
                <w:sz w:val="22"/>
                <w:highlight w:val="yellow"/>
              </w:rPr>
              <w:t>Fecha</w:t>
            </w:r>
            <w:r>
              <w:rPr>
                <w:rFonts w:ascii="Times New Roman" w:hAnsi="Times New Roman"/>
                <w:sz w:val="22"/>
              </w:rPr>
              <w:t>&gt;</w:t>
            </w:r>
          </w:p>
        </w:tc>
        <w:tc>
          <w:tcPr>
            <w:tcW w:w="2268" w:type="dxa"/>
          </w:tcPr>
          <w:p w:rsidR="0047783A" w:rsidRPr="00E82463" w:rsidRDefault="0047783A" w:rsidP="00A4424B">
            <w:pPr>
              <w:jc w:val="cente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Hora</w:t>
            </w:r>
            <w:r>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Pr>
                <w:rFonts w:ascii="Times New Roman" w:hAnsi="Times New Roman"/>
                <w:b/>
                <w:sz w:val="22"/>
              </w:rPr>
              <w:t>Sesión de apertura de plicas</w:t>
            </w:r>
          </w:p>
        </w:tc>
        <w:tc>
          <w:tcPr>
            <w:tcW w:w="2410" w:type="dxa"/>
          </w:tcPr>
          <w:p w:rsidR="0047783A" w:rsidRPr="00E82463" w:rsidRDefault="0047783A" w:rsidP="0047783A">
            <w:pPr>
              <w:rPr>
                <w:rFonts w:ascii="Times New Roman" w:hAnsi="Times New Roman"/>
                <w:sz w:val="22"/>
              </w:rPr>
            </w:pPr>
            <w:r>
              <w:rPr>
                <w:rFonts w:ascii="Times New Roman" w:hAnsi="Times New Roman"/>
                <w:sz w:val="22"/>
              </w:rPr>
              <w:t>&lt;</w:t>
            </w:r>
            <w:r>
              <w:rPr>
                <w:rFonts w:ascii="Times New Roman" w:hAnsi="Times New Roman"/>
                <w:sz w:val="22"/>
                <w:highlight w:val="yellow"/>
              </w:rPr>
              <w:t>Fecha</w:t>
            </w:r>
            <w:r>
              <w:rPr>
                <w:rFonts w:ascii="Times New Roman" w:hAnsi="Times New Roman"/>
                <w:sz w:val="22"/>
              </w:rPr>
              <w:t>&gt;</w:t>
            </w:r>
          </w:p>
        </w:tc>
        <w:tc>
          <w:tcPr>
            <w:tcW w:w="2268" w:type="dxa"/>
          </w:tcPr>
          <w:p w:rsidR="0047783A" w:rsidRPr="00E82463" w:rsidRDefault="0047783A" w:rsidP="00A4424B">
            <w:pPr>
              <w:jc w:val="cente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Hora</w:t>
            </w:r>
            <w:r>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Pr>
                <w:rFonts w:ascii="Times New Roman" w:hAnsi="Times New Roman"/>
                <w:b/>
                <w:sz w:val="22"/>
              </w:rPr>
              <w:t>Notificación de la adjudicación del contrato al adjudicatario</w:t>
            </w:r>
          </w:p>
        </w:tc>
        <w:tc>
          <w:tcPr>
            <w:tcW w:w="2410" w:type="dxa"/>
          </w:tcPr>
          <w:p w:rsidR="0047783A" w:rsidRPr="00E82463" w:rsidRDefault="0047783A" w:rsidP="001C29C2">
            <w:pPr>
              <w:tabs>
                <w:tab w:val="left" w:pos="851"/>
              </w:tabs>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Como máximo, 90 días </w:t>
            </w:r>
            <w:r w:rsidR="00CD7BFB">
              <w:rPr>
                <w:rFonts w:ascii="Times New Roman" w:hAnsi="Times New Roman"/>
                <w:sz w:val="22"/>
                <w:highlight w:val="yellow"/>
              </w:rPr>
              <w:t xml:space="preserve">después de finalizado el plazo </w:t>
            </w:r>
            <w:r>
              <w:rPr>
                <w:rFonts w:ascii="Times New Roman" w:hAnsi="Times New Roman"/>
                <w:sz w:val="22"/>
                <w:highlight w:val="yellow"/>
              </w:rPr>
              <w:t xml:space="preserve">de presentación de las ofertas </w:t>
            </w:r>
            <w:r>
              <w:rPr>
                <w:rFonts w:ascii="Times New Roman" w:hAnsi="Times New Roman"/>
                <w:sz w:val="22"/>
              </w:rPr>
              <w:t xml:space="preserve">&gt; </w:t>
            </w:r>
            <w:r>
              <w:rPr>
                <w:rFonts w:ascii="Times New Roman" w:hAnsi="Times New Roman"/>
                <w:sz w:val="22"/>
                <w:vertAlign w:val="superscript"/>
              </w:rPr>
              <w:sym w:font="Monotype Sorts" w:char="F027"/>
            </w:r>
          </w:p>
        </w:tc>
        <w:tc>
          <w:tcPr>
            <w:tcW w:w="2268" w:type="dxa"/>
          </w:tcPr>
          <w:p w:rsidR="0047783A" w:rsidRPr="00E82463" w:rsidRDefault="0047783A" w:rsidP="00A4424B">
            <w:pPr>
              <w:tabs>
                <w:tab w:val="left" w:pos="851"/>
              </w:tabs>
              <w:jc w:val="center"/>
              <w:rPr>
                <w:rFonts w:ascii="Times New Roman" w:hAnsi="Times New Roman"/>
                <w:sz w:val="22"/>
              </w:rPr>
            </w:pPr>
            <w:r>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Pr>
                <w:rFonts w:ascii="Times New Roman" w:hAnsi="Times New Roman"/>
                <w:b/>
                <w:sz w:val="22"/>
              </w:rPr>
              <w:t>Firma del contrato</w:t>
            </w:r>
          </w:p>
        </w:tc>
        <w:tc>
          <w:tcPr>
            <w:tcW w:w="2410" w:type="dxa"/>
          </w:tcPr>
          <w:p w:rsidR="0047783A" w:rsidRPr="00E82463" w:rsidRDefault="0047783A" w:rsidP="001C29C2">
            <w:pPr>
              <w:tabs>
                <w:tab w:val="left" w:pos="851"/>
              </w:tabs>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Como máximo, 150 días </w:t>
            </w:r>
            <w:r w:rsidR="00CD7BFB">
              <w:rPr>
                <w:rFonts w:ascii="Times New Roman" w:hAnsi="Times New Roman"/>
                <w:sz w:val="22"/>
                <w:highlight w:val="yellow"/>
              </w:rPr>
              <w:t xml:space="preserve">después de finalizado el plazo </w:t>
            </w:r>
            <w:r>
              <w:rPr>
                <w:rFonts w:ascii="Times New Roman" w:hAnsi="Times New Roman"/>
                <w:sz w:val="22"/>
                <w:highlight w:val="yellow"/>
              </w:rPr>
              <w:t xml:space="preserve">de presentación de las ofertas </w:t>
            </w:r>
            <w:r>
              <w:rPr>
                <w:rFonts w:ascii="Times New Roman" w:hAnsi="Times New Roman"/>
                <w:sz w:val="22"/>
              </w:rPr>
              <w:t xml:space="preserve">&gt; </w:t>
            </w:r>
            <w:r>
              <w:rPr>
                <w:rFonts w:ascii="Times New Roman" w:hAnsi="Times New Roman"/>
                <w:sz w:val="22"/>
                <w:vertAlign w:val="superscript"/>
              </w:rPr>
              <w:sym w:font="Monotype Sorts" w:char="F027"/>
            </w:r>
          </w:p>
        </w:tc>
        <w:tc>
          <w:tcPr>
            <w:tcW w:w="2268" w:type="dxa"/>
          </w:tcPr>
          <w:p w:rsidR="0047783A" w:rsidRPr="00E82463" w:rsidRDefault="0047783A">
            <w:pPr>
              <w:tabs>
                <w:tab w:val="left" w:pos="851"/>
              </w:tabs>
              <w:jc w:val="both"/>
              <w:rPr>
                <w:rFonts w:ascii="Times New Roman" w:hAnsi="Times New Roman"/>
                <w:sz w:val="22"/>
              </w:rPr>
            </w:pPr>
            <w:r>
              <w:rPr>
                <w:rFonts w:ascii="Times New Roman" w:hAnsi="Times New Roman"/>
                <w:sz w:val="22"/>
              </w:rPr>
              <w:t>-</w:t>
            </w:r>
          </w:p>
        </w:tc>
      </w:tr>
    </w:tbl>
    <w:p w:rsidR="00CD7BFB" w:rsidRDefault="0047783A" w:rsidP="00CD7BFB">
      <w:pPr>
        <w:tabs>
          <w:tab w:val="left" w:pos="851"/>
        </w:tabs>
        <w:spacing w:before="0" w:after="0"/>
        <w:jc w:val="both"/>
        <w:rPr>
          <w:rFonts w:ascii="Times New Roman" w:hAnsi="Times New Roman"/>
          <w:b/>
        </w:rPr>
      </w:pPr>
      <w:bookmarkStart w:id="6" w:name="_Ref500317541"/>
      <w:r>
        <w:rPr>
          <w:rFonts w:ascii="Times New Roman" w:hAnsi="Times New Roman"/>
          <w:b/>
        </w:rPr>
        <w:t xml:space="preserve"> * Todas las horas se expresan en </w:t>
      </w:r>
      <w:r w:rsidR="00CD7BFB">
        <w:rPr>
          <w:rFonts w:ascii="Times New Roman" w:hAnsi="Times New Roman"/>
          <w:b/>
        </w:rPr>
        <w:t>e</w:t>
      </w:r>
      <w:r>
        <w:rPr>
          <w:rFonts w:ascii="Times New Roman" w:hAnsi="Times New Roman"/>
          <w:b/>
        </w:rPr>
        <w:t xml:space="preserve">l </w:t>
      </w:r>
      <w:r w:rsidR="00CD7BFB">
        <w:rPr>
          <w:rFonts w:ascii="Times New Roman" w:hAnsi="Times New Roman"/>
          <w:b/>
        </w:rPr>
        <w:t>huso horario</w:t>
      </w:r>
      <w:r>
        <w:rPr>
          <w:rFonts w:ascii="Times New Roman" w:hAnsi="Times New Roman"/>
          <w:b/>
        </w:rPr>
        <w:t xml:space="preserve"> del país del Órgano de Contratación</w:t>
      </w:r>
    </w:p>
    <w:p w:rsidR="0047783A" w:rsidRPr="00E82463" w:rsidRDefault="00CD7BFB" w:rsidP="00CD7BFB">
      <w:pPr>
        <w:tabs>
          <w:tab w:val="left" w:pos="851"/>
        </w:tabs>
        <w:spacing w:before="0" w:after="0"/>
        <w:jc w:val="both"/>
        <w:rPr>
          <w:rFonts w:ascii="Times New Roman" w:hAnsi="Times New Roman"/>
          <w:b/>
        </w:rPr>
      </w:pPr>
      <w:r>
        <w:rPr>
          <w:rFonts w:ascii="Times New Roman" w:hAnsi="Times New Roman"/>
          <w:b/>
        </w:rPr>
        <w:t>**</w:t>
      </w:r>
      <w:r w:rsidR="0047783A">
        <w:rPr>
          <w:rFonts w:ascii="Times New Roman" w:hAnsi="Times New Roman"/>
          <w:b/>
        </w:rPr>
        <w:t xml:space="preserve"> Fecha provisional</w:t>
      </w:r>
    </w:p>
    <w:p w:rsidR="0047783A" w:rsidRPr="00E82463" w:rsidRDefault="0047783A" w:rsidP="00710F13">
      <w:pPr>
        <w:pStyle w:val="Heading1"/>
      </w:pPr>
      <w:bookmarkStart w:id="7" w:name="_Toc42488072"/>
      <w:bookmarkEnd w:id="6"/>
      <w:r>
        <w:t>Participación</w:t>
      </w:r>
      <w:bookmarkEnd w:id="7"/>
    </w:p>
    <w:p w:rsidR="00123EDC" w:rsidRPr="00E82463" w:rsidRDefault="0047783A" w:rsidP="00E82463">
      <w:pPr>
        <w:pStyle w:val="PRAGHeading2"/>
        <w:numPr>
          <w:ilvl w:val="0"/>
          <w:numId w:val="0"/>
        </w:numPr>
        <w:ind w:left="567" w:hanging="567"/>
        <w:jc w:val="both"/>
        <w:rPr>
          <w:sz w:val="22"/>
          <w:szCs w:val="22"/>
        </w:rPr>
      </w:pPr>
      <w:r>
        <w:rPr>
          <w:sz w:val="22"/>
        </w:rPr>
        <w:t>3.1</w:t>
      </w:r>
      <w:r>
        <w:tab/>
      </w:r>
      <w:r>
        <w:rPr>
          <w:sz w:val="22"/>
        </w:rPr>
        <w:t>[</w:t>
      </w:r>
      <w:r w:rsidR="00B76776">
        <w:rPr>
          <w:sz w:val="22"/>
          <w:highlight w:val="yellow"/>
        </w:rPr>
        <w:t>Presupuesto general de la Unión</w:t>
      </w:r>
      <w:r>
        <w:rPr>
          <w:sz w:val="22"/>
          <w:highlight w:val="yellow"/>
        </w:rPr>
        <w:t xml:space="preserve"> para licitaciones en las que es aplicable el Reglamento de ejecución común (REC)</w:t>
      </w:r>
      <w:r>
        <w:rPr>
          <w:sz w:val="22"/>
        </w:rPr>
        <w:t xml:space="preserve">: </w:t>
      </w:r>
      <w:r>
        <w:rPr>
          <w:sz w:val="22"/>
          <w:highlight w:val="lightGray"/>
        </w:rPr>
        <w:t>La participación está abierta a todas las personas físicas nacionales y personas jurídicas (ya participen individualmente o constituyendo una agrupación –consorcio– de licitadores) que estén establecidas de manera efectiva en uno de los Estados miembros de la Unión Europea o en uno de los países o territorios elegibles, tal como se define en el Reglamento (UE) n</w:t>
      </w:r>
      <w:r w:rsidR="001C29C2">
        <w:rPr>
          <w:sz w:val="22"/>
          <w:highlight w:val="lightGray"/>
        </w:rPr>
        <w:t>.</w:t>
      </w:r>
      <w:r>
        <w:rPr>
          <w:sz w:val="22"/>
          <w:highlight w:val="lightGray"/>
        </w:rPr>
        <w:t>°</w:t>
      </w:r>
      <w:r w:rsidR="001C29C2">
        <w:rPr>
          <w:sz w:val="22"/>
          <w:highlight w:val="lightGray"/>
        </w:rPr>
        <w:t> </w:t>
      </w:r>
      <w:r>
        <w:rPr>
          <w:sz w:val="22"/>
          <w:highlight w:val="lightGray"/>
        </w:rPr>
        <w:t xml:space="preserve">236/2014 por el que se establecen normas y procedimientos de ejecución comunes de los instrumentos de la Unión para la financiación de la acción exterior, para el instrumento al amparo del cual se financia el contrato (véase también  </w:t>
      </w:r>
      <w:r w:rsidR="00D300EE" w:rsidRPr="00D300EE">
        <w:rPr>
          <w:sz w:val="22"/>
          <w:highlight w:val="lightGray"/>
        </w:rPr>
        <w:t xml:space="preserve">la información adicional sobre el </w:t>
      </w:r>
      <w:r>
        <w:rPr>
          <w:sz w:val="22"/>
          <w:highlight w:val="lightGray"/>
        </w:rPr>
        <w:t xml:space="preserve"> anuncio de contrato). La participación también está abierta a las organizaciones internacionales. Todos los suministros con arreglo al presente contrato deberán ser originarios de uno o varios de esos países. No obstante, pueden proceder de cualquier país cuando</w:t>
      </w:r>
      <w:bookmarkStart w:id="8" w:name="_DV_C321"/>
      <w:r>
        <w:rPr>
          <w:noProof/>
          <w:color w:val="000000"/>
          <w:sz w:val="22"/>
          <w:highlight w:val="lightGray"/>
        </w:rPr>
        <w:t xml:space="preserve"> el importe de los suministros que vayan a adquirirse (en su conjunto o, si se divide en lotes, por lote) sea inferior a</w:t>
      </w:r>
      <w:bookmarkEnd w:id="8"/>
      <w:r>
        <w:rPr>
          <w:noProof/>
          <w:color w:val="000000"/>
          <w:sz w:val="22"/>
          <w:highlight w:val="lightGray"/>
        </w:rPr>
        <w:t xml:space="preserve"> 100</w:t>
      </w:r>
      <w:r w:rsidR="001C29C2">
        <w:rPr>
          <w:noProof/>
          <w:color w:val="000000"/>
          <w:sz w:val="22"/>
          <w:highlight w:val="lightGray"/>
        </w:rPr>
        <w:t> </w:t>
      </w:r>
      <w:r>
        <w:rPr>
          <w:noProof/>
          <w:color w:val="000000"/>
          <w:sz w:val="22"/>
          <w:highlight w:val="lightGray"/>
        </w:rPr>
        <w:t>000</w:t>
      </w:r>
      <w:r w:rsidR="001C29C2">
        <w:rPr>
          <w:noProof/>
          <w:color w:val="000000"/>
          <w:sz w:val="22"/>
          <w:highlight w:val="lightGray"/>
        </w:rPr>
        <w:t> </w:t>
      </w:r>
      <w:r>
        <w:rPr>
          <w:noProof/>
          <w:color w:val="000000"/>
          <w:sz w:val="22"/>
          <w:highlight w:val="lightGray"/>
        </w:rPr>
        <w:t>EUR</w:t>
      </w:r>
      <w:r>
        <w:rPr>
          <w:sz w:val="22"/>
          <w:highlight w:val="lightGray"/>
        </w:rPr>
        <w:t>.</w:t>
      </w:r>
      <w:r>
        <w:rPr>
          <w:sz w:val="22"/>
        </w:rPr>
        <w:t xml:space="preserve"> ]</w:t>
      </w:r>
    </w:p>
    <w:p w:rsidR="00123EDC" w:rsidRPr="00E82463" w:rsidRDefault="00D8732D" w:rsidP="00E82463">
      <w:pPr>
        <w:pStyle w:val="PRAGHeading2"/>
        <w:numPr>
          <w:ilvl w:val="0"/>
          <w:numId w:val="0"/>
        </w:numPr>
        <w:ind w:left="567"/>
        <w:jc w:val="both"/>
        <w:rPr>
          <w:sz w:val="22"/>
          <w:szCs w:val="22"/>
        </w:rPr>
      </w:pPr>
      <w:r>
        <w:rPr>
          <w:sz w:val="22"/>
          <w:highlight w:val="yellow"/>
        </w:rPr>
        <w:t>[</w:t>
      </w:r>
      <w:r w:rsidR="00B76776">
        <w:rPr>
          <w:sz w:val="22"/>
          <w:highlight w:val="yellow"/>
        </w:rPr>
        <w:t>Presupuesto general de la Unión</w:t>
      </w:r>
      <w:r>
        <w:rPr>
          <w:sz w:val="22"/>
          <w:highlight w:val="yellow"/>
        </w:rPr>
        <w:t xml:space="preserve"> para licitaciones en las que no es aplicable el REC (por ejemplo, para el IPA I):</w:t>
      </w:r>
      <w:r w:rsidR="00CD7BFB">
        <w:rPr>
          <w:sz w:val="22"/>
          <w:highlight w:val="yellow"/>
        </w:rPr>
        <w:t xml:space="preserve"> </w:t>
      </w:r>
      <w:r>
        <w:rPr>
          <w:sz w:val="22"/>
          <w:highlight w:val="lightGray"/>
        </w:rPr>
        <w:t xml:space="preserve">La participación está abierta a todas las personas jurídicas (ya participen individualmente o constituyendo una agrupación –consorcio– de licitadores) que estén establecidas de manera efectiva en uno de los Estados miembros de la Unión Europea o en uno de los países o territorios de las regiones cubiertas o autorizadas por los instrumentos específicos aplicables al programa al amparo del cual se financia el contrato (véase </w:t>
      </w:r>
      <w:r w:rsidR="00670A52">
        <w:rPr>
          <w:sz w:val="22"/>
          <w:highlight w:val="lightGray"/>
        </w:rPr>
        <w:t xml:space="preserve">la información adicional sobre el </w:t>
      </w:r>
      <w:r>
        <w:rPr>
          <w:sz w:val="22"/>
          <w:highlight w:val="lightGray"/>
        </w:rPr>
        <w:t>anuncio de contrato). Todos los suministros con arreglo al presente contrato deberán ser originarios de uno o varios de esos países. La participación también está abierta a las organizaciones internacionales. La participación de las personas físicas se regula directamente en el instrumento específico aplicable al programa con arreglo al cual se financia el contrato</w:t>
      </w:r>
      <w:r>
        <w:rPr>
          <w:sz w:val="22"/>
        </w:rPr>
        <w:t>].</w:t>
      </w:r>
    </w:p>
    <w:p w:rsidR="0047783A" w:rsidRDefault="0047783A" w:rsidP="0047783A">
      <w:pPr>
        <w:pStyle w:val="Heading2"/>
        <w:keepNext w:val="0"/>
        <w:ind w:left="567"/>
        <w:jc w:val="both"/>
        <w:rPr>
          <w:rFonts w:ascii="Times New Roman" w:hAnsi="Times New Roman"/>
          <w:sz w:val="22"/>
        </w:rPr>
      </w:pPr>
      <w:r>
        <w:rPr>
          <w:rFonts w:ascii="Times New Roman" w:hAnsi="Times New Roman"/>
          <w:sz w:val="22"/>
        </w:rPr>
        <w:t>[</w:t>
      </w:r>
      <w:r>
        <w:rPr>
          <w:rFonts w:ascii="Times New Roman" w:hAnsi="Times New Roman"/>
          <w:sz w:val="22"/>
          <w:highlight w:val="yellow"/>
        </w:rPr>
        <w:t>FED:</w:t>
      </w:r>
      <w:r>
        <w:rPr>
          <w:rFonts w:ascii="Times New Roman" w:hAnsi="Times New Roman"/>
          <w:sz w:val="22"/>
        </w:rPr>
        <w:t xml:space="preserve"> </w:t>
      </w:r>
      <w:r>
        <w:rPr>
          <w:rFonts w:ascii="Times New Roman" w:hAnsi="Times New Roman"/>
          <w:sz w:val="22"/>
          <w:highlight w:val="lightGray"/>
        </w:rPr>
        <w:t>La licitación está abierta en condiciones de igualdad a todas las personas físicas y jurídicas (ya participen individualmente o constituyendo una agrupación –consorcio– de licitadores) establecidas de manera efectiva en los Estados miembros de la Unión Europea, los Estados ACP, o en un país o territorio autorizado por el Acuerdo de Asociación ACP-EC que financia el contrato. La licitación también está abierta a las organizaciones internacionales</w:t>
      </w:r>
      <w:r>
        <w:rPr>
          <w:rFonts w:ascii="Times New Roman" w:hAnsi="Times New Roman"/>
          <w:sz w:val="22"/>
        </w:rPr>
        <w:t>.]</w:t>
      </w:r>
    </w:p>
    <w:p w:rsidR="008826B1" w:rsidRPr="008826B1" w:rsidRDefault="008826B1" w:rsidP="008826B1">
      <w:pPr>
        <w:widowControl w:val="0"/>
        <w:snapToGrid w:val="0"/>
        <w:spacing w:before="0" w:after="0"/>
        <w:ind w:left="426"/>
        <w:jc w:val="both"/>
        <w:rPr>
          <w:rFonts w:ascii="Times New Roman" w:hAnsi="Times New Roman"/>
          <w:snapToGrid/>
          <w:sz w:val="22"/>
          <w:szCs w:val="22"/>
        </w:rPr>
      </w:pPr>
      <w:r w:rsidRPr="008826B1">
        <w:rPr>
          <w:rFonts w:ascii="Times New Roman" w:hAnsi="Times New Roman"/>
          <w:snapToGrid/>
          <w:sz w:val="22"/>
          <w:szCs w:val="22"/>
          <w:highlight w:val="yellow"/>
          <w:lang w:val="es-ES_tradnl"/>
        </w:rPr>
        <w:t>[</w:t>
      </w:r>
      <w:r w:rsidRPr="008826B1">
        <w:rPr>
          <w:rFonts w:ascii="Times New Roman" w:hAnsi="Times New Roman"/>
          <w:snapToGrid/>
          <w:sz w:val="22"/>
          <w:szCs w:val="22"/>
          <w:highlight w:val="yellow"/>
        </w:rPr>
        <w:t>Para los compromisos financiados por un acto de base en el marco financiero plurianual 2014-2020 o anteriores, 11º o anterior FED:</w:t>
      </w:r>
    </w:p>
    <w:p w:rsidR="008826B1" w:rsidRPr="008826B1" w:rsidRDefault="008826B1" w:rsidP="008826B1">
      <w:pPr>
        <w:widowControl w:val="0"/>
        <w:snapToGrid w:val="0"/>
        <w:spacing w:before="0" w:after="0"/>
        <w:ind w:left="426"/>
        <w:jc w:val="both"/>
        <w:rPr>
          <w:rFonts w:ascii="Times New Roman" w:hAnsi="Times New Roman"/>
          <w:snapToGrid/>
          <w:sz w:val="22"/>
          <w:szCs w:val="22"/>
          <w:highlight w:val="lightGray"/>
          <w:lang w:val="es-ES_tradnl"/>
        </w:rPr>
      </w:pPr>
      <w:r w:rsidRPr="008826B1">
        <w:rPr>
          <w:rFonts w:ascii="Times New Roman" w:hAnsi="Times New Roman"/>
          <w:snapToGrid/>
          <w:sz w:val="22"/>
          <w:szCs w:val="22"/>
          <w:highlight w:val="lightGray"/>
          <w:lang w:val="es-ES_tradnl"/>
        </w:rPr>
        <w:t>Para el Reino Unido candidatos o licitadores: tenga en cuenta que, tras la entrada en vigor del Acuerdo de Retirada UE-Reino Unido * el 1 de febrero de 2020 y, en particular, los artículos 127 (6), 137 y 138 , las referencias a personas físicas o jurídicas que residan o estén establecidas en un Estado miembro de la Unión Europea y a productos originarios de un país elegible, según se define en el Reglamento (UE) n. ° 236/2014 ** y el Anexo IV del Acuerdo de Asociación ACP-UE ***, se entenderá que incluye a las personas físicas o jurídicas que residen o están establecidas en el Reino Unido y a los bienes que proceden del Reino Unido ****. Esas personas y bienes son, por lo tanto, elegibles bajo esta convocatoria.</w:t>
      </w:r>
    </w:p>
    <w:p w:rsidR="008826B1" w:rsidRPr="008826B1" w:rsidRDefault="008826B1" w:rsidP="008826B1">
      <w:pPr>
        <w:widowControl w:val="0"/>
        <w:snapToGrid w:val="0"/>
        <w:spacing w:before="0" w:after="0"/>
        <w:ind w:left="426"/>
        <w:jc w:val="both"/>
        <w:rPr>
          <w:rFonts w:ascii="Times New Roman" w:hAnsi="Times New Roman"/>
          <w:snapToGrid/>
          <w:sz w:val="22"/>
          <w:szCs w:val="22"/>
          <w:highlight w:val="lightGray"/>
          <w:lang w:val="es-ES_tradnl"/>
        </w:rPr>
      </w:pPr>
      <w:r w:rsidRPr="008826B1">
        <w:rPr>
          <w:rFonts w:ascii="Times New Roman" w:hAnsi="Times New Roman"/>
          <w:snapToGrid/>
          <w:sz w:val="22"/>
          <w:szCs w:val="22"/>
          <w:highlight w:val="lightGray"/>
          <w:lang w:val="es-ES_tradnl"/>
        </w:rPr>
        <w:t>* Acuerdo sobre la retirada del Reino Unido de Gran Bretaña e Irlanda del Norte de la Unión Europea y la Comunidad Europea de la Energía Atómica.</w:t>
      </w:r>
    </w:p>
    <w:p w:rsidR="008826B1" w:rsidRPr="008826B1" w:rsidRDefault="008826B1" w:rsidP="008826B1">
      <w:pPr>
        <w:widowControl w:val="0"/>
        <w:snapToGrid w:val="0"/>
        <w:spacing w:before="0" w:after="0"/>
        <w:ind w:left="426"/>
        <w:jc w:val="both"/>
        <w:rPr>
          <w:rFonts w:ascii="Times New Roman" w:hAnsi="Times New Roman"/>
          <w:snapToGrid/>
          <w:sz w:val="22"/>
          <w:szCs w:val="22"/>
          <w:highlight w:val="lightGray"/>
          <w:lang w:val="es-ES_tradnl"/>
        </w:rPr>
      </w:pPr>
      <w:r w:rsidRPr="008826B1">
        <w:rPr>
          <w:rFonts w:ascii="Times New Roman" w:hAnsi="Times New Roman"/>
          <w:snapToGrid/>
          <w:sz w:val="22"/>
          <w:szCs w:val="22"/>
          <w:highlight w:val="lightGray"/>
          <w:lang w:val="es-ES_tradnl"/>
        </w:rPr>
        <w:t>** Reglamento (UE) no 236/2014 del Parlamento Europeo y del Consejo, de 11 de marzo de 2014, por el que se establecen normas y procedimientos comunes para la aplicación de los instrumentos de la Unión para la financiación de la acción exterior.</w:t>
      </w:r>
    </w:p>
    <w:p w:rsidR="008826B1" w:rsidRPr="008826B1" w:rsidRDefault="008826B1" w:rsidP="008826B1">
      <w:pPr>
        <w:widowControl w:val="0"/>
        <w:snapToGrid w:val="0"/>
        <w:spacing w:before="0" w:after="0"/>
        <w:ind w:left="426"/>
        <w:jc w:val="both"/>
        <w:rPr>
          <w:rFonts w:ascii="Times New Roman" w:hAnsi="Times New Roman"/>
          <w:snapToGrid/>
          <w:sz w:val="22"/>
          <w:szCs w:val="22"/>
          <w:highlight w:val="lightGray"/>
          <w:lang w:val="es-ES_tradnl"/>
        </w:rPr>
      </w:pPr>
      <w:r w:rsidRPr="008826B1">
        <w:rPr>
          <w:rFonts w:ascii="Times New Roman" w:hAnsi="Times New Roman"/>
          <w:snapToGrid/>
          <w:sz w:val="22"/>
          <w:szCs w:val="22"/>
          <w:highlight w:val="lightGray"/>
          <w:lang w:val="es-ES_tradnl"/>
        </w:rPr>
        <w:t>*** Anexo IV del Acuerdo de Asociación ACP-UE, revisado por la Decisión 1/2014 del Consejo de Ministros ACP-UE (DO L196 / 40, 3.7.2014)</w:t>
      </w:r>
    </w:p>
    <w:p w:rsidR="008826B1" w:rsidRPr="008826B1" w:rsidRDefault="008826B1" w:rsidP="008826B1">
      <w:pPr>
        <w:widowControl w:val="0"/>
        <w:snapToGrid w:val="0"/>
        <w:spacing w:before="0" w:after="0"/>
        <w:ind w:left="426"/>
        <w:jc w:val="both"/>
        <w:rPr>
          <w:rFonts w:ascii="Times New Roman" w:hAnsi="Times New Roman"/>
          <w:snapToGrid/>
          <w:sz w:val="22"/>
          <w:szCs w:val="22"/>
          <w:highlight w:val="lightGray"/>
          <w:lang w:val="es-ES_tradnl"/>
        </w:rPr>
      </w:pPr>
      <w:r w:rsidRPr="008826B1">
        <w:rPr>
          <w:rFonts w:ascii="Times New Roman" w:hAnsi="Times New Roman"/>
          <w:snapToGrid/>
          <w:sz w:val="22"/>
          <w:szCs w:val="22"/>
          <w:highlight w:val="lightGray"/>
          <w:lang w:val="es-ES_tradnl"/>
        </w:rPr>
        <w:t>**** incluidos los países y territorios de ultramar que tienen relaciones especiales con el Reino Unido, tal como se establece en la cuarta parte y el anexo II del TFUE.]</w:t>
      </w:r>
    </w:p>
    <w:p w:rsidR="008826B1" w:rsidRPr="00D95C80" w:rsidRDefault="008826B1" w:rsidP="00D95C80">
      <w:pPr>
        <w:rPr>
          <w:lang w:val="es-ES_tradnl"/>
        </w:rPr>
      </w:pP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3.2</w:t>
      </w:r>
      <w:r>
        <w:tab/>
      </w:r>
      <w:r>
        <w:rPr>
          <w:rFonts w:ascii="Times New Roman" w:hAnsi="Times New Roman"/>
          <w:sz w:val="22"/>
        </w:rPr>
        <w:t>Estas condiciones se refieren a todos los nacionales de los Estados mencionados y a todas las personas jurídicas, sociedades o asociaciones establecidas de manera efectiva en dichos países. A los efectos de acreditar el cumplimiento de esta norma, los licitadores que sean personas jurídicas deberán presentar los documentos exigidos por la ley de ese país.</w:t>
      </w:r>
    </w:p>
    <w:p w:rsidR="0047783A" w:rsidRPr="007A0C47" w:rsidRDefault="0047783A" w:rsidP="00A4424B">
      <w:pPr>
        <w:pStyle w:val="Heading2"/>
        <w:keepNext w:val="0"/>
        <w:tabs>
          <w:tab w:val="left" w:pos="709"/>
        </w:tabs>
        <w:ind w:left="567" w:hanging="567"/>
        <w:jc w:val="both"/>
        <w:rPr>
          <w:rFonts w:ascii="Times New Roman" w:hAnsi="Times New Roman"/>
          <w:sz w:val="22"/>
        </w:rPr>
      </w:pPr>
      <w:r>
        <w:rPr>
          <w:rFonts w:ascii="Times New Roman" w:hAnsi="Times New Roman"/>
          <w:sz w:val="22"/>
        </w:rPr>
        <w:t>3.3</w:t>
      </w:r>
      <w:r>
        <w:tab/>
      </w:r>
      <w:r>
        <w:rPr>
          <w:rFonts w:ascii="Times New Roman" w:hAnsi="Times New Roman"/>
          <w:sz w:val="22"/>
        </w:rPr>
        <w:t xml:space="preserve">Los requisitos de </w:t>
      </w:r>
      <w:r w:rsidR="001C29C2">
        <w:rPr>
          <w:rFonts w:ascii="Times New Roman" w:hAnsi="Times New Roman"/>
          <w:sz w:val="22"/>
        </w:rPr>
        <w:t>elegibilidad</w:t>
      </w:r>
      <w:r>
        <w:rPr>
          <w:rFonts w:ascii="Times New Roman" w:hAnsi="Times New Roman"/>
          <w:sz w:val="22"/>
        </w:rPr>
        <w:t xml:space="preserve"> especificados en la cláusula 3, puntos 1 y 2, son aplicables a todos los miembros de una asociación de empresas o de un consorcio, a todos los subcontratistas y a todas las entidades a cuya capacidad se remite el licitador para los criterios de selección. Cada licitador, cada miembro de una asociación de empresas o de un consorcio, cada entidad que ofrezca sus capacidades, cada subcontratista deberá certificar que cumple dichos requisitos y demostrar su </w:t>
      </w:r>
      <w:r w:rsidR="001C29C2">
        <w:rPr>
          <w:rFonts w:ascii="Times New Roman" w:hAnsi="Times New Roman"/>
          <w:sz w:val="22"/>
        </w:rPr>
        <w:t>elegibilidad</w:t>
      </w:r>
      <w:r>
        <w:rPr>
          <w:rFonts w:ascii="Times New Roman" w:hAnsi="Times New Roman"/>
          <w:sz w:val="22"/>
        </w:rPr>
        <w:t xml:space="preserve"> mediante un documento fechado menos de un año antes de</w:t>
      </w:r>
      <w:r w:rsidR="004133E9">
        <w:rPr>
          <w:rFonts w:ascii="Times New Roman" w:hAnsi="Times New Roman"/>
          <w:sz w:val="22"/>
        </w:rPr>
        <w:t xml:space="preserve"> que finalice el </w:t>
      </w:r>
      <w:r>
        <w:rPr>
          <w:rFonts w:ascii="Times New Roman" w:hAnsi="Times New Roman"/>
          <w:sz w:val="22"/>
        </w:rPr>
        <w:t xml:space="preserve">plazo </w:t>
      </w:r>
      <w:r w:rsidR="004133E9">
        <w:rPr>
          <w:rFonts w:ascii="Times New Roman" w:hAnsi="Times New Roman"/>
          <w:sz w:val="22"/>
        </w:rPr>
        <w:t xml:space="preserve">de </w:t>
      </w:r>
      <w:r>
        <w:rPr>
          <w:rFonts w:ascii="Times New Roman" w:hAnsi="Times New Roman"/>
          <w:sz w:val="22"/>
        </w:rPr>
        <w:t>presentación de las ofertas, expedido de conformidad con su legislación o prácticas nacionales, o mediante copias de los documentos originales que definan la constitución o la personalidad jurídica y determinen el lugar del registro o la sede estatutaria y, si fuese distinto, el lugar en que se encuentra su administración central. El Órgano de Contratación podrá aceptar otras pruebas satisfactorias del cumplimiento de estos requisitos.</w:t>
      </w:r>
    </w:p>
    <w:p w:rsidR="0047783A" w:rsidRPr="00E82463" w:rsidRDefault="0047783A" w:rsidP="005F6B3B">
      <w:pPr>
        <w:pStyle w:val="Heading2"/>
        <w:keepNext w:val="0"/>
        <w:tabs>
          <w:tab w:val="left" w:pos="709"/>
        </w:tabs>
        <w:ind w:left="567" w:hanging="567"/>
        <w:jc w:val="both"/>
        <w:rPr>
          <w:rFonts w:ascii="Times New Roman" w:hAnsi="Times New Roman"/>
          <w:sz w:val="22"/>
        </w:rPr>
      </w:pPr>
      <w:r>
        <w:rPr>
          <w:rFonts w:ascii="Times New Roman" w:hAnsi="Times New Roman"/>
          <w:sz w:val="22"/>
        </w:rPr>
        <w:t>3.4</w:t>
      </w:r>
      <w:r>
        <w:tab/>
      </w:r>
      <w:r>
        <w:rPr>
          <w:rFonts w:ascii="Times New Roman" w:hAnsi="Times New Roman"/>
          <w:sz w:val="22"/>
        </w:rPr>
        <w:t xml:space="preserve">No tendrán derecho a participar en </w:t>
      </w:r>
      <w:r w:rsidR="000E3BEA">
        <w:rPr>
          <w:rFonts w:ascii="Times New Roman" w:hAnsi="Times New Roman"/>
          <w:sz w:val="22"/>
        </w:rPr>
        <w:t>la presente licitación</w:t>
      </w:r>
      <w:r>
        <w:rPr>
          <w:rFonts w:ascii="Times New Roman" w:hAnsi="Times New Roman"/>
          <w:sz w:val="22"/>
        </w:rPr>
        <w:t xml:space="preserve"> ni a ser adjudicatarias de un contrato las personas físicas o jurídicas que se encuentren en alguna de las situaciones mencionadas en l</w:t>
      </w:r>
      <w:r w:rsidR="00A05983">
        <w:rPr>
          <w:rFonts w:ascii="Times New Roman" w:hAnsi="Times New Roman"/>
          <w:sz w:val="22"/>
        </w:rPr>
        <w:t>os</w:t>
      </w:r>
      <w:r>
        <w:rPr>
          <w:rFonts w:ascii="Times New Roman" w:hAnsi="Times New Roman"/>
          <w:sz w:val="22"/>
        </w:rPr>
        <w:t xml:space="preserve"> </w:t>
      </w:r>
      <w:r w:rsidR="00A05983">
        <w:rPr>
          <w:rFonts w:ascii="Times New Roman" w:hAnsi="Times New Roman"/>
          <w:sz w:val="22"/>
        </w:rPr>
        <w:t xml:space="preserve">apartados </w:t>
      </w:r>
      <w:r w:rsidRPr="00CD7BFB">
        <w:rPr>
          <w:rFonts w:ascii="Times New Roman" w:hAnsi="Times New Roman"/>
          <w:color w:val="000000" w:themeColor="text1"/>
          <w:sz w:val="22"/>
        </w:rPr>
        <w:t>2.</w:t>
      </w:r>
      <w:r w:rsidR="00B76776" w:rsidRPr="00CD7BFB">
        <w:rPr>
          <w:rFonts w:ascii="Times New Roman" w:hAnsi="Times New Roman"/>
          <w:color w:val="000000" w:themeColor="text1"/>
          <w:sz w:val="22"/>
        </w:rPr>
        <w:t>4 (Medidas restrictivas de la UE), 2.6.10.1 (Criterios de exclusión) o 2.6.10.1.2 (</w:t>
      </w:r>
      <w:r w:rsidR="009424C1" w:rsidRPr="00CD7BFB">
        <w:rPr>
          <w:rFonts w:ascii="Times New Roman" w:hAnsi="Times New Roman"/>
          <w:color w:val="000000" w:themeColor="text1"/>
          <w:sz w:val="22"/>
        </w:rPr>
        <w:t>Motivos de rechazo de un procedimiento</w:t>
      </w:r>
      <w:r w:rsidR="00B76776" w:rsidRPr="00CD7BFB">
        <w:rPr>
          <w:rFonts w:ascii="Times New Roman" w:hAnsi="Times New Roman"/>
          <w:color w:val="000000" w:themeColor="text1"/>
          <w:sz w:val="22"/>
        </w:rPr>
        <w:t>)</w:t>
      </w:r>
      <w:r>
        <w:rPr>
          <w:rFonts w:ascii="Times New Roman" w:hAnsi="Times New Roman"/>
          <w:sz w:val="22"/>
        </w:rPr>
        <w:t xml:space="preserve"> de la Guía Práctica. Si lo hicieran, su oferta se considerará i</w:t>
      </w:r>
      <w:r w:rsidR="000E3BEA">
        <w:rPr>
          <w:rFonts w:ascii="Times New Roman" w:hAnsi="Times New Roman"/>
          <w:sz w:val="22"/>
        </w:rPr>
        <w:t>nadecuada</w:t>
      </w:r>
      <w:r>
        <w:rPr>
          <w:rFonts w:ascii="Times New Roman" w:hAnsi="Times New Roman"/>
          <w:sz w:val="22"/>
        </w:rPr>
        <w:t xml:space="preserve"> o irregular, respectivamente. En los </w:t>
      </w:r>
      <w:r w:rsidR="009424C1">
        <w:rPr>
          <w:rFonts w:ascii="Times New Roman" w:hAnsi="Times New Roman"/>
          <w:sz w:val="22"/>
        </w:rPr>
        <w:t xml:space="preserve">casos enumerados en </w:t>
      </w:r>
      <w:r w:rsidR="00A05983">
        <w:rPr>
          <w:rFonts w:ascii="Times New Roman" w:hAnsi="Times New Roman"/>
          <w:sz w:val="22"/>
        </w:rPr>
        <w:t>e</w:t>
      </w:r>
      <w:r w:rsidR="009424C1">
        <w:rPr>
          <w:rFonts w:ascii="Times New Roman" w:hAnsi="Times New Roman"/>
          <w:sz w:val="22"/>
        </w:rPr>
        <w:t>l</w:t>
      </w:r>
      <w:r w:rsidR="00A05983">
        <w:rPr>
          <w:rFonts w:ascii="Times New Roman" w:hAnsi="Times New Roman"/>
          <w:sz w:val="22"/>
        </w:rPr>
        <w:t xml:space="preserve"> apartado</w:t>
      </w:r>
      <w:r w:rsidR="009424C1">
        <w:rPr>
          <w:rFonts w:ascii="Times New Roman" w:hAnsi="Times New Roman"/>
          <w:sz w:val="22"/>
        </w:rPr>
        <w:t> 2.6.10</w:t>
      </w:r>
      <w:r>
        <w:rPr>
          <w:rFonts w:ascii="Times New Roman" w:hAnsi="Times New Roman"/>
          <w:sz w:val="22"/>
        </w:rPr>
        <w:t xml:space="preserve"> de la </w:t>
      </w:r>
      <w:r w:rsidRPr="009424C1">
        <w:rPr>
          <w:rFonts w:ascii="Times New Roman" w:hAnsi="Times New Roman"/>
          <w:bCs/>
          <w:sz w:val="22"/>
        </w:rPr>
        <w:t>Guía Práctica</w:t>
      </w:r>
      <w:r>
        <w:rPr>
          <w:rFonts w:ascii="Times New Roman" w:hAnsi="Times New Roman"/>
          <w:sz w:val="22"/>
        </w:rPr>
        <w:t xml:space="preserve"> los licitadores también podrán ser excluidos de los procedimientos de financiación de la UE y ser objeto de sanciones pecuniarias </w:t>
      </w:r>
      <w:r w:rsidR="00E9043F">
        <w:rPr>
          <w:rFonts w:ascii="Times New Roman" w:hAnsi="Times New Roman"/>
          <w:sz w:val="22"/>
        </w:rPr>
        <w:t>por un valor equivalente como máximo al</w:t>
      </w:r>
      <w:r>
        <w:rPr>
          <w:rFonts w:ascii="Times New Roman" w:hAnsi="Times New Roman"/>
          <w:sz w:val="22"/>
        </w:rPr>
        <w:t xml:space="preserve"> valor total del contrato, de conformidad con </w:t>
      </w:r>
      <w:r w:rsidR="009424C1">
        <w:rPr>
          <w:rFonts w:ascii="Times New Roman" w:hAnsi="Times New Roman"/>
          <w:sz w:val="22"/>
        </w:rPr>
        <w:t>el Reglamento financiero vigente</w:t>
      </w:r>
      <w:r>
        <w:rPr>
          <w:rFonts w:ascii="Times New Roman" w:hAnsi="Times New Roman"/>
          <w:sz w:val="22"/>
        </w:rPr>
        <w:t xml:space="preserve">. Esta información podrá publicarse en el sitio web de la Comisión de acuerdo con </w:t>
      </w:r>
      <w:r w:rsidR="00DE0E27">
        <w:rPr>
          <w:rFonts w:ascii="Times New Roman" w:hAnsi="Times New Roman"/>
          <w:sz w:val="22"/>
        </w:rPr>
        <w:t>el Reglamento financiero vigente</w:t>
      </w:r>
      <w:r>
        <w:rPr>
          <w:rFonts w:ascii="Times New Roman" w:hAnsi="Times New Roman"/>
          <w:sz w:val="22"/>
        </w:rPr>
        <w:t>.</w:t>
      </w:r>
      <w:r>
        <w:rPr>
          <w:sz w:val="22"/>
        </w:rPr>
        <w:t xml:space="preserve"> </w:t>
      </w:r>
      <w:r>
        <w:rPr>
          <w:rFonts w:ascii="Times New Roman" w:hAnsi="Times New Roman"/>
          <w:sz w:val="22"/>
        </w:rPr>
        <w:t xml:space="preserve">Los licitadores deberán presentar </w:t>
      </w:r>
      <w:r w:rsidRPr="00A05983">
        <w:rPr>
          <w:rFonts w:ascii="Times New Roman" w:hAnsi="Times New Roman"/>
          <w:color w:val="000000" w:themeColor="text1"/>
          <w:sz w:val="22"/>
        </w:rPr>
        <w:t xml:space="preserve">declaraciones </w:t>
      </w:r>
      <w:r w:rsidR="005F6B3B" w:rsidRPr="00A05983">
        <w:rPr>
          <w:rFonts w:ascii="Times New Roman" w:hAnsi="Times New Roman"/>
          <w:color w:val="000000" w:themeColor="text1"/>
          <w:sz w:val="22"/>
        </w:rPr>
        <w:t>juradas</w:t>
      </w:r>
      <w:r w:rsidR="00DE0E27" w:rsidRPr="00A05983">
        <w:rPr>
          <w:rStyle w:val="FootnoteReference"/>
          <w:rFonts w:ascii="Times New Roman" w:hAnsi="Times New Roman"/>
          <w:color w:val="000000" w:themeColor="text1"/>
          <w:sz w:val="22"/>
        </w:rPr>
        <w:footnoteReference w:id="2"/>
      </w:r>
      <w:r w:rsidR="00DE0E27">
        <w:rPr>
          <w:rFonts w:ascii="Times New Roman" w:hAnsi="Times New Roman"/>
          <w:sz w:val="22"/>
        </w:rPr>
        <w:t xml:space="preserve"> </w:t>
      </w:r>
      <w:r>
        <w:rPr>
          <w:rFonts w:ascii="Times New Roman" w:hAnsi="Times New Roman"/>
          <w:sz w:val="22"/>
        </w:rPr>
        <w:t>en las que se especifique que no se encuentran en ninguna de estas situaciones de exclusión. Cuando se trate de una asociación de empresas o de un consorcio,</w:t>
      </w:r>
      <w:r w:rsidR="00894736">
        <w:rPr>
          <w:rFonts w:ascii="Times New Roman" w:hAnsi="Times New Roman"/>
          <w:sz w:val="22"/>
        </w:rPr>
        <w:t xml:space="preserve"> de un subcontratista o una entidad suministradora de capacidad,</w:t>
      </w:r>
      <w:r>
        <w:rPr>
          <w:rFonts w:ascii="Times New Roman" w:hAnsi="Times New Roman"/>
          <w:sz w:val="22"/>
        </w:rPr>
        <w:t xml:space="preserve"> tal declaración deberá asimismo </w:t>
      </w:r>
      <w:r w:rsidR="00894736">
        <w:rPr>
          <w:rFonts w:ascii="Times New Roman" w:hAnsi="Times New Roman"/>
          <w:sz w:val="22"/>
        </w:rPr>
        <w:t>present</w:t>
      </w:r>
      <w:r>
        <w:rPr>
          <w:rFonts w:ascii="Times New Roman" w:hAnsi="Times New Roman"/>
          <w:sz w:val="22"/>
        </w:rPr>
        <w:t xml:space="preserve">arse </w:t>
      </w:r>
      <w:r w:rsidR="00894736">
        <w:rPr>
          <w:rFonts w:ascii="Times New Roman" w:hAnsi="Times New Roman"/>
          <w:sz w:val="22"/>
        </w:rPr>
        <w:t>p</w:t>
      </w:r>
      <w:r>
        <w:rPr>
          <w:rFonts w:ascii="Times New Roman" w:hAnsi="Times New Roman"/>
          <w:sz w:val="22"/>
        </w:rPr>
        <w:t>a</w:t>
      </w:r>
      <w:r w:rsidR="00894736">
        <w:rPr>
          <w:rFonts w:ascii="Times New Roman" w:hAnsi="Times New Roman"/>
          <w:sz w:val="22"/>
        </w:rPr>
        <w:t>ra</w:t>
      </w:r>
      <w:r>
        <w:rPr>
          <w:rFonts w:ascii="Times New Roman" w:hAnsi="Times New Roman"/>
          <w:sz w:val="22"/>
        </w:rPr>
        <w:t xml:space="preserve"> todos sus miembros. A los licitadores que sean declarados culpables de declaraciones falsas se les podrá imponer, además, sanciones financieras y podrán quedar excluidos con arreglo a las condiciones mencionadas en el </w:t>
      </w:r>
      <w:r w:rsidR="00DE0E27">
        <w:rPr>
          <w:rFonts w:ascii="Times New Roman" w:hAnsi="Times New Roman"/>
          <w:sz w:val="22"/>
        </w:rPr>
        <w:t>Reglamento financiero vigente</w:t>
      </w:r>
      <w:r>
        <w:rPr>
          <w:rFonts w:ascii="Times New Roman" w:hAnsi="Times New Roman"/>
          <w:sz w:val="22"/>
        </w:rPr>
        <w:t>. Su oferta se considerará irregular.</w:t>
      </w:r>
    </w:p>
    <w:p w:rsidR="0047783A" w:rsidRPr="00E82463" w:rsidRDefault="0047783A" w:rsidP="0047783A">
      <w:pPr>
        <w:pStyle w:val="Heading2"/>
        <w:keepNext w:val="0"/>
        <w:tabs>
          <w:tab w:val="num" w:pos="709"/>
        </w:tabs>
        <w:ind w:left="567"/>
        <w:jc w:val="both"/>
        <w:rPr>
          <w:rFonts w:ascii="Times New Roman" w:hAnsi="Times New Roman"/>
          <w:sz w:val="22"/>
          <w:szCs w:val="22"/>
        </w:rPr>
      </w:pPr>
      <w:r>
        <w:rPr>
          <w:rFonts w:ascii="Times New Roman" w:hAnsi="Times New Roman"/>
          <w:sz w:val="22"/>
        </w:rPr>
        <w:t xml:space="preserve">Las situaciones de exclusión mencionadas también son aplicables a todos los miembros de una asociación de empresas o de un consorcio, a todos los subcontratistas, a todos los proveedores de licitadores y a todas las entidades a cuya capacidad se remite el licitador para los criterios de selección. En caso de duda sobre dicha declaración jurada, el Órgano de Contratación solicitará la prueba documental de que los subcontratistas </w:t>
      </w:r>
      <w:r w:rsidR="00894736">
        <w:rPr>
          <w:rFonts w:ascii="Times New Roman" w:hAnsi="Times New Roman"/>
          <w:sz w:val="22"/>
        </w:rPr>
        <w:t xml:space="preserve">y/o entidades suministradoras de capacidad </w:t>
      </w:r>
      <w:r>
        <w:rPr>
          <w:rFonts w:ascii="Times New Roman" w:hAnsi="Times New Roman"/>
          <w:sz w:val="22"/>
        </w:rPr>
        <w:t>no se encuentran en una situación de exclusión.</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rPr>
      </w:pPr>
      <w:r>
        <w:rPr>
          <w:rFonts w:ascii="Times New Roman" w:hAnsi="Times New Roman"/>
          <w:sz w:val="22"/>
        </w:rPr>
        <w:t>3.5</w:t>
      </w:r>
      <w:r>
        <w:tab/>
      </w:r>
      <w:r>
        <w:rPr>
          <w:rFonts w:ascii="Times New Roman" w:hAnsi="Times New Roman"/>
          <w:sz w:val="22"/>
        </w:rPr>
        <w:t>Para poder participar en la presente licitación, los licitadores deberán probar suficientemente ante el Órgano de Contratación que cumplen los requisitos de carácter jurídico, técnico y financiero y que tienen recursos suficientes para ejecutar el contrato eficazmente.</w:t>
      </w:r>
    </w:p>
    <w:p w:rsidR="00AC08A0" w:rsidRPr="00AC08A0" w:rsidRDefault="0047783A" w:rsidP="00AC08A0">
      <w:pPr>
        <w:pStyle w:val="Heading2"/>
        <w:tabs>
          <w:tab w:val="num" w:pos="709"/>
          <w:tab w:val="left" w:pos="792"/>
          <w:tab w:val="left" w:pos="8080"/>
        </w:tabs>
        <w:ind w:left="567" w:hanging="567"/>
        <w:jc w:val="both"/>
        <w:rPr>
          <w:rFonts w:ascii="Times New Roman" w:hAnsi="Times New Roman"/>
          <w:sz w:val="22"/>
        </w:rPr>
      </w:pPr>
      <w:r>
        <w:rPr>
          <w:rFonts w:ascii="Times New Roman" w:hAnsi="Times New Roman"/>
          <w:sz w:val="22"/>
        </w:rPr>
        <w:t>3.6</w:t>
      </w:r>
      <w:r>
        <w:tab/>
      </w:r>
      <w:r w:rsidR="00E95C73">
        <w:rPr>
          <w:rFonts w:ascii="Times New Roman" w:hAnsi="Times New Roman"/>
          <w:sz w:val="22"/>
        </w:rPr>
        <w:t xml:space="preserve">Se </w:t>
      </w:r>
      <w:r w:rsidR="00E95C73" w:rsidRPr="00E95C73">
        <w:rPr>
          <w:rFonts w:ascii="Times New Roman" w:hAnsi="Times New Roman"/>
          <w:sz w:val="22"/>
        </w:rPr>
        <w:t>permite la subcontratación, pero el contratista conservará la responsabilidad total ante la autoridad contratante por el cumplimiento del contrato en su conjunto.</w:t>
      </w:r>
      <w:r w:rsidR="00DA178A" w:rsidRPr="00E95C73">
        <w:rPr>
          <w:rFonts w:ascii="Times New Roman" w:hAnsi="Times New Roman"/>
          <w:sz w:val="22"/>
        </w:rPr>
        <w:t>.</w:t>
      </w:r>
      <w:r w:rsidR="00DA178A">
        <w:rPr>
          <w:rFonts w:ascii="Times New Roman" w:hAnsi="Times New Roman"/>
          <w:sz w:val="22"/>
        </w:rPr>
        <w:t xml:space="preserve"> </w:t>
      </w:r>
      <w:r w:rsidR="00DA178A" w:rsidRPr="005B3034">
        <w:rPr>
          <w:rFonts w:ascii="Times New Roman" w:hAnsi="Times New Roman"/>
          <w:sz w:val="22"/>
          <w:highlight w:val="yellow"/>
        </w:rPr>
        <w:t>S</w:t>
      </w:r>
      <w:r w:rsidR="00AC08A0" w:rsidRPr="005B3034">
        <w:rPr>
          <w:rFonts w:ascii="Times New Roman" w:hAnsi="Times New Roman"/>
          <w:sz w:val="22"/>
          <w:highlight w:val="yellow"/>
        </w:rPr>
        <w:t>olo se insertará en caso de que el Órgano de Contratación identifique que ciertas actividades críticas no pueden ser subcontratadas</w:t>
      </w:r>
      <w:r w:rsidR="00DA178A" w:rsidRPr="005B3034">
        <w:rPr>
          <w:rFonts w:ascii="Times New Roman" w:hAnsi="Times New Roman"/>
          <w:sz w:val="22"/>
          <w:highlight w:val="yellow"/>
        </w:rPr>
        <w:t xml:space="preserve">. ADVERTENCIA: esas </w:t>
      </w:r>
      <w:r w:rsidR="00DA178A">
        <w:rPr>
          <w:rFonts w:ascii="Times New Roman" w:hAnsi="Times New Roman"/>
          <w:sz w:val="22"/>
          <w:highlight w:val="yellow"/>
        </w:rPr>
        <w:t>actividades</w:t>
      </w:r>
      <w:r w:rsidR="00DA178A" w:rsidRPr="005B3034">
        <w:rPr>
          <w:rFonts w:ascii="Times New Roman" w:hAnsi="Times New Roman"/>
          <w:sz w:val="22"/>
          <w:highlight w:val="yellow"/>
        </w:rPr>
        <w:t xml:space="preserve"> críticas identificadas por el </w:t>
      </w:r>
      <w:r w:rsidR="00DA178A" w:rsidRPr="00DA178A">
        <w:rPr>
          <w:rFonts w:ascii="Times New Roman" w:hAnsi="Times New Roman"/>
          <w:sz w:val="22"/>
          <w:highlight w:val="yellow"/>
        </w:rPr>
        <w:t>Órgano</w:t>
      </w:r>
      <w:r w:rsidR="00DA178A" w:rsidRPr="005B3034">
        <w:rPr>
          <w:rFonts w:ascii="Times New Roman" w:hAnsi="Times New Roman"/>
          <w:sz w:val="22"/>
          <w:highlight w:val="yellow"/>
        </w:rPr>
        <w:t xml:space="preserve"> de </w:t>
      </w:r>
      <w:r w:rsidR="00DA178A" w:rsidRPr="00DA178A">
        <w:rPr>
          <w:rFonts w:ascii="Times New Roman" w:hAnsi="Times New Roman"/>
          <w:sz w:val="22"/>
          <w:highlight w:val="yellow"/>
        </w:rPr>
        <w:t>Contratación</w:t>
      </w:r>
      <w:r w:rsidR="00DA178A" w:rsidRPr="005B3034">
        <w:rPr>
          <w:rFonts w:ascii="Times New Roman" w:hAnsi="Times New Roman"/>
          <w:sz w:val="22"/>
          <w:highlight w:val="yellow"/>
        </w:rPr>
        <w:t xml:space="preserve"> deben estar estrictamente ligadas al emplazamiento y/o operaciones de </w:t>
      </w:r>
      <w:r w:rsidR="00DA178A" w:rsidRPr="00DA178A">
        <w:rPr>
          <w:rFonts w:ascii="Times New Roman" w:hAnsi="Times New Roman"/>
          <w:sz w:val="22"/>
          <w:highlight w:val="yellow"/>
        </w:rPr>
        <w:t>instalación</w:t>
      </w:r>
      <w:r w:rsidR="00AC08A0" w:rsidRPr="00AC08A0">
        <w:rPr>
          <w:rFonts w:ascii="Times New Roman" w:hAnsi="Times New Roman"/>
          <w:sz w:val="22"/>
        </w:rPr>
        <w:t xml:space="preserve"> </w:t>
      </w:r>
      <w:r w:rsidR="00AC08A0" w:rsidRPr="005B3034">
        <w:rPr>
          <w:rFonts w:ascii="Times New Roman" w:hAnsi="Times New Roman"/>
          <w:sz w:val="22"/>
          <w:highlight w:val="lightGray"/>
        </w:rPr>
        <w:t>[</w:t>
      </w:r>
      <w:r w:rsidR="00DA178A" w:rsidRPr="005B3034">
        <w:rPr>
          <w:rFonts w:ascii="Times New Roman" w:hAnsi="Times New Roman"/>
          <w:sz w:val="22"/>
          <w:highlight w:val="lightGray"/>
        </w:rPr>
        <w:t>E</w:t>
      </w:r>
      <w:r w:rsidR="00AC08A0" w:rsidRPr="005B3034">
        <w:rPr>
          <w:rFonts w:ascii="Times New Roman" w:hAnsi="Times New Roman"/>
          <w:sz w:val="22"/>
          <w:highlight w:val="lightGray"/>
        </w:rPr>
        <w:t xml:space="preserve">l Órgano de Contratación exige que las siguientes </w:t>
      </w:r>
      <w:r w:rsidR="00DA178A">
        <w:rPr>
          <w:rFonts w:ascii="Times New Roman" w:hAnsi="Times New Roman"/>
          <w:sz w:val="22"/>
          <w:highlight w:val="lightGray"/>
        </w:rPr>
        <w:t>actividades</w:t>
      </w:r>
      <w:r w:rsidR="00DA178A" w:rsidRPr="005B3034">
        <w:rPr>
          <w:rFonts w:ascii="Times New Roman" w:hAnsi="Times New Roman"/>
          <w:sz w:val="22"/>
          <w:highlight w:val="lightGray"/>
        </w:rPr>
        <w:t xml:space="preserve"> críticas</w:t>
      </w:r>
      <w:r w:rsidR="00AC08A0" w:rsidRPr="005B3034">
        <w:rPr>
          <w:rFonts w:ascii="Times New Roman" w:hAnsi="Times New Roman"/>
          <w:sz w:val="22"/>
          <w:highlight w:val="lightGray"/>
        </w:rPr>
        <w:t xml:space="preserve"> sean realizadas directamente por el propio licitador o, cuando la oferta haya sido presentada por un grupo de operadores económicos, por uno de sus miembros participantes:</w:t>
      </w:r>
    </w:p>
    <w:p w:rsidR="00AC08A0" w:rsidRPr="005B3034" w:rsidRDefault="00AC08A0" w:rsidP="005B3034">
      <w:pPr>
        <w:ind w:left="567"/>
        <w:rPr>
          <w:rFonts w:ascii="Times New Roman" w:hAnsi="Times New Roman"/>
          <w:sz w:val="22"/>
        </w:rPr>
      </w:pPr>
      <w:r w:rsidRPr="005B3034">
        <w:rPr>
          <w:rFonts w:ascii="Times New Roman" w:hAnsi="Times New Roman"/>
          <w:sz w:val="22"/>
          <w:highlight w:val="lightGray"/>
        </w:rPr>
        <w:t>1 &lt;</w:t>
      </w:r>
      <w:r w:rsidRPr="005B3034">
        <w:rPr>
          <w:rFonts w:ascii="Times New Roman" w:hAnsi="Times New Roman"/>
          <w:sz w:val="22"/>
          <w:highlight w:val="yellow"/>
        </w:rPr>
        <w:t>Actividad crítica 1 (defínase)</w:t>
      </w:r>
      <w:r w:rsidRPr="005B3034">
        <w:rPr>
          <w:rFonts w:ascii="Times New Roman" w:hAnsi="Times New Roman"/>
          <w:sz w:val="22"/>
          <w:highlight w:val="lightGray"/>
        </w:rPr>
        <w:t>&gt;</w:t>
      </w:r>
    </w:p>
    <w:p w:rsidR="00AC08A0" w:rsidRPr="005B3034" w:rsidRDefault="00AC08A0" w:rsidP="005B3034">
      <w:pPr>
        <w:ind w:left="567"/>
        <w:rPr>
          <w:rFonts w:ascii="Times New Roman" w:hAnsi="Times New Roman"/>
          <w:sz w:val="22"/>
        </w:rPr>
      </w:pPr>
      <w:r w:rsidRPr="005B3034">
        <w:rPr>
          <w:rFonts w:ascii="Times New Roman" w:hAnsi="Times New Roman"/>
          <w:sz w:val="22"/>
          <w:highlight w:val="lightGray"/>
        </w:rPr>
        <w:t>2 &lt;</w:t>
      </w:r>
      <w:r w:rsidRPr="005B3034">
        <w:rPr>
          <w:rFonts w:ascii="Times New Roman" w:hAnsi="Times New Roman"/>
          <w:sz w:val="22"/>
          <w:highlight w:val="yellow"/>
        </w:rPr>
        <w:t>Actividad crítica 2 (defínase)</w:t>
      </w:r>
      <w:r w:rsidRPr="005B3034">
        <w:rPr>
          <w:rFonts w:ascii="Times New Roman" w:hAnsi="Times New Roman"/>
          <w:sz w:val="22"/>
          <w:highlight w:val="lightGray"/>
        </w:rPr>
        <w:t>&gt;</w:t>
      </w:r>
    </w:p>
    <w:p w:rsidR="0047783A" w:rsidRPr="005B3034" w:rsidRDefault="00AC08A0" w:rsidP="005B3034">
      <w:pPr>
        <w:ind w:left="567"/>
        <w:rPr>
          <w:rFonts w:ascii="Times New Roman" w:hAnsi="Times New Roman"/>
          <w:sz w:val="22"/>
          <w:highlight w:val="lightGray"/>
        </w:rPr>
      </w:pPr>
      <w:r w:rsidRPr="005B3034">
        <w:rPr>
          <w:rFonts w:ascii="Times New Roman" w:hAnsi="Times New Roman"/>
          <w:sz w:val="22"/>
          <w:highlight w:val="lightGray"/>
        </w:rPr>
        <w:t>3 … etc]</w:t>
      </w:r>
    </w:p>
    <w:p w:rsidR="0069153C" w:rsidRPr="00A4424B" w:rsidRDefault="0047783A" w:rsidP="00A4424B">
      <w:pPr>
        <w:pStyle w:val="Heading2"/>
        <w:keepNext w:val="0"/>
        <w:tabs>
          <w:tab w:val="num" w:pos="709"/>
        </w:tabs>
        <w:ind w:left="567"/>
        <w:jc w:val="both"/>
        <w:rPr>
          <w:rFonts w:ascii="Times New Roman" w:hAnsi="Times New Roman"/>
          <w:sz w:val="22"/>
          <w:szCs w:val="22"/>
        </w:rPr>
      </w:pPr>
      <w:r>
        <w:rPr>
          <w:rFonts w:ascii="Times New Roman" w:hAnsi="Times New Roman"/>
          <w:sz w:val="22"/>
        </w:rPr>
        <w:t>[</w:t>
      </w:r>
      <w:r>
        <w:rPr>
          <w:rFonts w:ascii="Times New Roman" w:hAnsi="Times New Roman"/>
          <w:sz w:val="22"/>
          <w:highlight w:val="yellow"/>
        </w:rPr>
        <w:t>Solo para el FED:</w:t>
      </w:r>
      <w:r>
        <w:rPr>
          <w:rFonts w:ascii="Times New Roman" w:hAnsi="Times New Roman"/>
          <w:sz w:val="22"/>
        </w:rPr>
        <w:t xml:space="preserve"> </w:t>
      </w:r>
      <w:r>
        <w:rPr>
          <w:rFonts w:ascii="Times New Roman" w:hAnsi="Times New Roman"/>
          <w:sz w:val="22"/>
          <w:highlight w:val="lightGray"/>
        </w:rPr>
        <w:t>Al seleccionar los subcontratistas, los contratistas deberán dar preferencia a las personas físicas, sociedades o empresas de los Estados ACP que sean capaces de proveer los suministros en condiciones similares].</w:t>
      </w:r>
    </w:p>
    <w:p w:rsidR="0047783A" w:rsidRPr="00E82463" w:rsidRDefault="0047783A" w:rsidP="00710F13">
      <w:pPr>
        <w:pStyle w:val="Heading1"/>
      </w:pPr>
      <w:bookmarkStart w:id="9" w:name="_Toc42488073"/>
      <w:r>
        <w:t>Origen</w:t>
      </w:r>
      <w:bookmarkEnd w:id="9"/>
    </w:p>
    <w:p w:rsidR="0047783A" w:rsidRDefault="0047783A" w:rsidP="00552278">
      <w:pPr>
        <w:pStyle w:val="Heading2"/>
        <w:keepNext w:val="0"/>
        <w:numPr>
          <w:ilvl w:val="1"/>
          <w:numId w:val="0"/>
        </w:numPr>
        <w:ind w:left="567" w:hanging="567"/>
        <w:jc w:val="both"/>
        <w:rPr>
          <w:rFonts w:ascii="Times New Roman" w:hAnsi="Times New Roman"/>
          <w:sz w:val="22"/>
          <w:szCs w:val="22"/>
        </w:rPr>
      </w:pPr>
      <w:r>
        <w:rPr>
          <w:rFonts w:ascii="Times New Roman" w:hAnsi="Times New Roman"/>
          <w:sz w:val="22"/>
        </w:rPr>
        <w:t>4.1</w:t>
      </w:r>
      <w:r>
        <w:tab/>
      </w:r>
      <w:r>
        <w:rPr>
          <w:rFonts w:ascii="Times New Roman" w:hAnsi="Times New Roman"/>
          <w:sz w:val="22"/>
        </w:rPr>
        <w:t>Salvo que el contrato disponga otra cosa, o que se disponga otra cosa más adelante en el presente documento, todos los bienes adquiridos con arreglo al contrato deberán ser originarios de un Estado miembro de la Unión Europea o de un país o territorio de las regiones incluidas y/o autorizadas por los instrumentos específicos aplicables al programa que figura en la cláusula 3.1. En este contexto, se entenderá por «origen» el lugar donde los bienes fueron extraídos, cultivados, producidos o fabricados y/o desde el cual se prestaron servicios. El origen de los bienes debe determinarse de conformidad con los acuerdos internacionales pertinentes (en especial los acuerdos de la OMC), que se reflejan en la legislación de la UE sobre normas de origen a efectos aduaneros: el Código Aduanero (Reglamento (CEE) n</w:t>
      </w:r>
      <w:r w:rsidR="004A5EEE">
        <w:rPr>
          <w:rFonts w:ascii="Times New Roman" w:hAnsi="Times New Roman"/>
          <w:sz w:val="22"/>
        </w:rPr>
        <w:t>.</w:t>
      </w:r>
      <w:r>
        <w:rPr>
          <w:rFonts w:ascii="Times New Roman" w:hAnsi="Times New Roman"/>
          <w:sz w:val="22"/>
        </w:rPr>
        <w:t>º</w:t>
      </w:r>
      <w:r w:rsidR="004A5EEE">
        <w:rPr>
          <w:rFonts w:ascii="Times New Roman" w:hAnsi="Times New Roman"/>
          <w:sz w:val="22"/>
        </w:rPr>
        <w:t> </w:t>
      </w:r>
      <w:r>
        <w:rPr>
          <w:rFonts w:ascii="Times New Roman" w:hAnsi="Times New Roman"/>
          <w:sz w:val="22"/>
        </w:rPr>
        <w:t>2913/92 del Consejo), en particular sus artículos 22 a 246, y las disposiciones de aplicación del Código (Reglamento (CEE) n</w:t>
      </w:r>
      <w:r w:rsidR="004A5EEE">
        <w:rPr>
          <w:rFonts w:ascii="Times New Roman" w:hAnsi="Times New Roman"/>
          <w:sz w:val="22"/>
        </w:rPr>
        <w:t>.</w:t>
      </w:r>
      <w:r>
        <w:rPr>
          <w:rFonts w:ascii="Times New Roman" w:hAnsi="Times New Roman"/>
          <w:sz w:val="22"/>
        </w:rPr>
        <w:t>º</w:t>
      </w:r>
      <w:r w:rsidR="004A5EEE">
        <w:rPr>
          <w:rFonts w:ascii="Times New Roman" w:hAnsi="Times New Roman"/>
          <w:sz w:val="22"/>
        </w:rPr>
        <w:t> </w:t>
      </w:r>
      <w:r>
        <w:rPr>
          <w:rFonts w:ascii="Times New Roman" w:hAnsi="Times New Roman"/>
          <w:sz w:val="22"/>
        </w:rPr>
        <w:t>2454/93 de la Comisión). [</w:t>
      </w:r>
      <w:r>
        <w:rPr>
          <w:rFonts w:ascii="Times New Roman" w:hAnsi="Times New Roman"/>
          <w:sz w:val="22"/>
          <w:highlight w:val="yellow"/>
        </w:rPr>
        <w:t>FED:</w:t>
      </w:r>
      <w:r>
        <w:rPr>
          <w:rFonts w:ascii="Times New Roman" w:hAnsi="Times New Roman"/>
          <w:sz w:val="22"/>
        </w:rPr>
        <w:t xml:space="preserve"> </w:t>
      </w:r>
      <w:r>
        <w:rPr>
          <w:rFonts w:ascii="Times New Roman" w:hAnsi="Times New Roman"/>
          <w:sz w:val="22"/>
          <w:highlight w:val="lightGray"/>
        </w:rPr>
        <w:t xml:space="preserve">Los suministros originarios de la UE comprenderán los suministros que procedan de los territorios y países de </w:t>
      </w:r>
      <w:r w:rsidR="00A05983">
        <w:rPr>
          <w:rFonts w:ascii="Times New Roman" w:hAnsi="Times New Roman"/>
          <w:sz w:val="22"/>
          <w:highlight w:val="lightGray"/>
        </w:rPr>
        <w:t>u</w:t>
      </w:r>
      <w:r>
        <w:rPr>
          <w:rFonts w:ascii="Times New Roman" w:hAnsi="Times New Roman"/>
          <w:sz w:val="22"/>
          <w:highlight w:val="lightGray"/>
        </w:rPr>
        <w:t>ltramar</w:t>
      </w:r>
      <w:r>
        <w:rPr>
          <w:rFonts w:ascii="Times New Roman" w:hAnsi="Times New Roman"/>
          <w:sz w:val="22"/>
        </w:rPr>
        <w:t>.]</w:t>
      </w:r>
    </w:p>
    <w:p w:rsidR="00D33BE3" w:rsidRPr="00C61161" w:rsidRDefault="00D33BE3" w:rsidP="00A05983">
      <w:pPr>
        <w:ind w:left="567"/>
        <w:rPr>
          <w:rFonts w:ascii="Times New Roman" w:hAnsi="Times New Roman"/>
          <w:sz w:val="22"/>
          <w:szCs w:val="22"/>
        </w:rPr>
      </w:pPr>
      <w:r>
        <w:rPr>
          <w:rFonts w:ascii="Times New Roman" w:hAnsi="Times New Roman"/>
          <w:sz w:val="22"/>
        </w:rPr>
        <w:t>[</w:t>
      </w:r>
      <w:r w:rsidR="00DE0E27">
        <w:rPr>
          <w:rFonts w:ascii="Times New Roman" w:hAnsi="Times New Roman"/>
          <w:sz w:val="22"/>
          <w:highlight w:val="yellow"/>
        </w:rPr>
        <w:t xml:space="preserve">Presupuesto general de la Unión </w:t>
      </w:r>
      <w:r>
        <w:rPr>
          <w:rFonts w:ascii="Times New Roman" w:hAnsi="Times New Roman"/>
          <w:sz w:val="22"/>
          <w:highlight w:val="yellow"/>
        </w:rPr>
        <w:t xml:space="preserve">para licitaciones en las que es aplicable el REC y </w:t>
      </w:r>
      <w:r w:rsidR="00A05983">
        <w:rPr>
          <w:rFonts w:ascii="Times New Roman" w:hAnsi="Times New Roman"/>
          <w:sz w:val="22"/>
          <w:highlight w:val="yellow"/>
        </w:rPr>
        <w:t xml:space="preserve">el </w:t>
      </w:r>
      <w:r>
        <w:rPr>
          <w:rFonts w:ascii="Times New Roman" w:hAnsi="Times New Roman"/>
          <w:sz w:val="22"/>
          <w:highlight w:val="yellow"/>
        </w:rPr>
        <w:t>10.º</w:t>
      </w:r>
      <w:r w:rsidR="00705C62">
        <w:rPr>
          <w:rFonts w:ascii="Times New Roman" w:hAnsi="Times New Roman"/>
          <w:sz w:val="22"/>
          <w:highlight w:val="yellow"/>
        </w:rPr>
        <w:t>/</w:t>
      </w:r>
      <w:r>
        <w:rPr>
          <w:rFonts w:ascii="Times New Roman" w:hAnsi="Times New Roman"/>
          <w:sz w:val="22"/>
          <w:highlight w:val="yellow"/>
        </w:rPr>
        <w:t xml:space="preserve"> 11.º FED:</w:t>
      </w:r>
    </w:p>
    <w:p w:rsidR="00D33BE3" w:rsidRPr="00705C62" w:rsidRDefault="00D33BE3" w:rsidP="00DE0E27">
      <w:pPr>
        <w:ind w:left="567"/>
        <w:jc w:val="both"/>
        <w:rPr>
          <w:rFonts w:ascii="Times New Roman" w:hAnsi="Times New Roman"/>
          <w:color w:val="000000" w:themeColor="text1"/>
          <w:sz w:val="22"/>
          <w:szCs w:val="22"/>
        </w:rPr>
      </w:pPr>
      <w:r w:rsidRPr="00705C62">
        <w:rPr>
          <w:rFonts w:ascii="Times New Roman" w:hAnsi="Times New Roman"/>
          <w:color w:val="000000" w:themeColor="text1"/>
          <w:sz w:val="22"/>
          <w:highlight w:val="yellow"/>
        </w:rPr>
        <w:t xml:space="preserve">[Si el </w:t>
      </w:r>
      <w:r w:rsidR="00DE0E27" w:rsidRPr="00705C62">
        <w:rPr>
          <w:rFonts w:ascii="Times New Roman" w:hAnsi="Times New Roman"/>
          <w:color w:val="000000" w:themeColor="text1"/>
          <w:sz w:val="22"/>
          <w:highlight w:val="yellow"/>
        </w:rPr>
        <w:t xml:space="preserve">valor intrínseco </w:t>
      </w:r>
      <w:r w:rsidR="00705C62">
        <w:rPr>
          <w:rFonts w:ascii="Times New Roman" w:hAnsi="Times New Roman"/>
          <w:color w:val="000000" w:themeColor="text1"/>
          <w:sz w:val="22"/>
          <w:highlight w:val="yellow"/>
        </w:rPr>
        <w:t xml:space="preserve">estimado </w:t>
      </w:r>
      <w:r w:rsidR="00DE0E27" w:rsidRPr="00705C62">
        <w:rPr>
          <w:rFonts w:ascii="Times New Roman" w:hAnsi="Times New Roman"/>
          <w:color w:val="000000" w:themeColor="text1"/>
          <w:sz w:val="22"/>
          <w:highlight w:val="yellow"/>
        </w:rPr>
        <w:t>de</w:t>
      </w:r>
      <w:r w:rsidR="00E9043F">
        <w:rPr>
          <w:rFonts w:ascii="Times New Roman" w:hAnsi="Times New Roman"/>
          <w:color w:val="000000" w:themeColor="text1"/>
          <w:sz w:val="22"/>
          <w:highlight w:val="yellow"/>
        </w:rPr>
        <w:t xml:space="preserve"> los</w:t>
      </w:r>
      <w:r w:rsidR="00DE0E27" w:rsidRPr="00705C62">
        <w:rPr>
          <w:rFonts w:ascii="Times New Roman" w:hAnsi="Times New Roman"/>
          <w:color w:val="000000" w:themeColor="text1"/>
          <w:sz w:val="22"/>
          <w:highlight w:val="yellow"/>
        </w:rPr>
        <w:t xml:space="preserve"> producto</w:t>
      </w:r>
      <w:r w:rsidR="00E9043F">
        <w:rPr>
          <w:rFonts w:ascii="Times New Roman" w:hAnsi="Times New Roman"/>
          <w:color w:val="000000" w:themeColor="text1"/>
          <w:sz w:val="22"/>
          <w:highlight w:val="yellow"/>
        </w:rPr>
        <w:t>s</w:t>
      </w:r>
      <w:r w:rsidRPr="00705C62">
        <w:rPr>
          <w:rFonts w:ascii="Times New Roman" w:hAnsi="Times New Roman"/>
          <w:color w:val="000000" w:themeColor="text1"/>
          <w:sz w:val="22"/>
          <w:highlight w:val="yellow"/>
        </w:rPr>
        <w:t xml:space="preserve"> es superior o igual a 100 000</w:t>
      </w:r>
      <w:r w:rsidR="004A5EEE" w:rsidRPr="00705C62">
        <w:rPr>
          <w:rFonts w:ascii="Times New Roman" w:hAnsi="Times New Roman"/>
          <w:color w:val="000000" w:themeColor="text1"/>
          <w:sz w:val="22"/>
          <w:highlight w:val="yellow"/>
        </w:rPr>
        <w:t> </w:t>
      </w:r>
      <w:r w:rsidRPr="00705C62">
        <w:rPr>
          <w:rFonts w:ascii="Times New Roman" w:hAnsi="Times New Roman"/>
          <w:color w:val="000000" w:themeColor="text1"/>
          <w:sz w:val="22"/>
          <w:highlight w:val="yellow"/>
        </w:rPr>
        <w:t>EUR</w:t>
      </w:r>
      <w:r w:rsidRPr="00705C62">
        <w:rPr>
          <w:rFonts w:ascii="Times New Roman" w:hAnsi="Times New Roman"/>
          <w:color w:val="000000" w:themeColor="text1"/>
          <w:sz w:val="22"/>
        </w:rPr>
        <w:t xml:space="preserve">: </w:t>
      </w:r>
      <w:r w:rsidRPr="00705C62">
        <w:rPr>
          <w:rFonts w:ascii="Times New Roman" w:hAnsi="Times New Roman"/>
          <w:color w:val="000000" w:themeColor="text1"/>
          <w:sz w:val="22"/>
          <w:highlight w:val="lightGray"/>
        </w:rPr>
        <w:t>Todos los suministros con arreglo al presente contrato deberán ser originarios de uno o varios de los países antes mencionados.</w:t>
      </w:r>
      <w:r w:rsidRPr="00705C62">
        <w:rPr>
          <w:rFonts w:ascii="Times New Roman" w:hAnsi="Times New Roman"/>
          <w:color w:val="000000" w:themeColor="text1"/>
          <w:sz w:val="22"/>
        </w:rPr>
        <w:t>]</w:t>
      </w:r>
    </w:p>
    <w:p w:rsidR="00D33BE3" w:rsidRPr="00705C62" w:rsidRDefault="00D33BE3" w:rsidP="00DE0E27">
      <w:pPr>
        <w:ind w:left="567"/>
        <w:jc w:val="both"/>
        <w:rPr>
          <w:rFonts w:ascii="Times New Roman" w:hAnsi="Times New Roman"/>
          <w:color w:val="000000" w:themeColor="text1"/>
          <w:sz w:val="22"/>
          <w:szCs w:val="22"/>
        </w:rPr>
      </w:pPr>
      <w:r w:rsidRPr="00705C62">
        <w:rPr>
          <w:rFonts w:ascii="Times New Roman" w:hAnsi="Times New Roman"/>
          <w:color w:val="000000" w:themeColor="text1"/>
          <w:sz w:val="22"/>
          <w:highlight w:val="yellow"/>
        </w:rPr>
        <w:t xml:space="preserve">[Si el </w:t>
      </w:r>
      <w:r w:rsidR="00DE0E27" w:rsidRPr="00705C62">
        <w:rPr>
          <w:rFonts w:ascii="Times New Roman" w:hAnsi="Times New Roman"/>
          <w:color w:val="000000" w:themeColor="text1"/>
          <w:sz w:val="22"/>
          <w:highlight w:val="yellow"/>
        </w:rPr>
        <w:t xml:space="preserve">valor intrínseco </w:t>
      </w:r>
      <w:r w:rsidR="00705C62">
        <w:rPr>
          <w:rFonts w:ascii="Times New Roman" w:hAnsi="Times New Roman"/>
          <w:color w:val="000000" w:themeColor="text1"/>
          <w:sz w:val="22"/>
          <w:highlight w:val="yellow"/>
        </w:rPr>
        <w:t xml:space="preserve">estimado </w:t>
      </w:r>
      <w:r w:rsidR="00DE0E27" w:rsidRPr="00705C62">
        <w:rPr>
          <w:rFonts w:ascii="Times New Roman" w:hAnsi="Times New Roman"/>
          <w:color w:val="000000" w:themeColor="text1"/>
          <w:sz w:val="22"/>
          <w:highlight w:val="yellow"/>
        </w:rPr>
        <w:t>de</w:t>
      </w:r>
      <w:r w:rsidR="00E9043F">
        <w:rPr>
          <w:rFonts w:ascii="Times New Roman" w:hAnsi="Times New Roman"/>
          <w:color w:val="000000" w:themeColor="text1"/>
          <w:sz w:val="22"/>
          <w:highlight w:val="yellow"/>
        </w:rPr>
        <w:t xml:space="preserve"> </w:t>
      </w:r>
      <w:r w:rsidR="00DE0E27" w:rsidRPr="00705C62">
        <w:rPr>
          <w:rFonts w:ascii="Times New Roman" w:hAnsi="Times New Roman"/>
          <w:color w:val="000000" w:themeColor="text1"/>
          <w:sz w:val="22"/>
          <w:highlight w:val="yellow"/>
        </w:rPr>
        <w:t>l</w:t>
      </w:r>
      <w:r w:rsidR="00E9043F">
        <w:rPr>
          <w:rFonts w:ascii="Times New Roman" w:hAnsi="Times New Roman"/>
          <w:color w:val="000000" w:themeColor="text1"/>
          <w:sz w:val="22"/>
          <w:highlight w:val="yellow"/>
        </w:rPr>
        <w:t>os</w:t>
      </w:r>
      <w:r w:rsidR="00DE0E27" w:rsidRPr="00705C62">
        <w:rPr>
          <w:rFonts w:ascii="Times New Roman" w:hAnsi="Times New Roman"/>
          <w:color w:val="000000" w:themeColor="text1"/>
          <w:sz w:val="22"/>
          <w:highlight w:val="yellow"/>
        </w:rPr>
        <w:t xml:space="preserve"> producto</w:t>
      </w:r>
      <w:r w:rsidR="00E9043F">
        <w:rPr>
          <w:rFonts w:ascii="Times New Roman" w:hAnsi="Times New Roman"/>
          <w:color w:val="000000" w:themeColor="text1"/>
          <w:sz w:val="22"/>
          <w:highlight w:val="yellow"/>
        </w:rPr>
        <w:t>s</w:t>
      </w:r>
      <w:r w:rsidRPr="00705C62">
        <w:rPr>
          <w:rFonts w:ascii="Times New Roman" w:hAnsi="Times New Roman"/>
          <w:color w:val="000000" w:themeColor="text1"/>
          <w:sz w:val="22"/>
          <w:highlight w:val="yellow"/>
        </w:rPr>
        <w:t xml:space="preserve"> (del procedimiento de licitación en su conjunto o, si está dividido en lotes, por lote) es inferior a 100 000</w:t>
      </w:r>
      <w:r w:rsidR="004A5EEE" w:rsidRPr="00705C62">
        <w:rPr>
          <w:rFonts w:ascii="Times New Roman" w:hAnsi="Times New Roman"/>
          <w:color w:val="000000" w:themeColor="text1"/>
          <w:sz w:val="22"/>
          <w:highlight w:val="yellow"/>
        </w:rPr>
        <w:t> </w:t>
      </w:r>
      <w:r w:rsidRPr="00705C62">
        <w:rPr>
          <w:rFonts w:ascii="Times New Roman" w:hAnsi="Times New Roman"/>
          <w:color w:val="000000" w:themeColor="text1"/>
          <w:sz w:val="22"/>
          <w:highlight w:val="yellow"/>
        </w:rPr>
        <w:t>EUR</w:t>
      </w:r>
      <w:r w:rsidRPr="00705C62">
        <w:rPr>
          <w:rFonts w:ascii="Times New Roman" w:hAnsi="Times New Roman"/>
          <w:color w:val="000000" w:themeColor="text1"/>
          <w:sz w:val="22"/>
        </w:rPr>
        <w:t xml:space="preserve">: </w:t>
      </w:r>
      <w:r w:rsidRPr="00705C62">
        <w:rPr>
          <w:rFonts w:ascii="Times New Roman" w:hAnsi="Times New Roman"/>
          <w:color w:val="000000" w:themeColor="text1"/>
          <w:sz w:val="22"/>
          <w:highlight w:val="lightGray"/>
        </w:rPr>
        <w:t>Todos los suministros cubiertos por el presente contrato pueden ser originarios de cualquier país.</w:t>
      </w:r>
      <w:r w:rsidRPr="00705C62">
        <w:rPr>
          <w:rFonts w:ascii="Times New Roman" w:hAnsi="Times New Roman"/>
          <w:color w:val="000000" w:themeColor="text1"/>
          <w:sz w:val="22"/>
        </w:rPr>
        <w:t xml:space="preserve"> ]]</w:t>
      </w:r>
    </w:p>
    <w:p w:rsidR="004365AD" w:rsidRPr="00E82463" w:rsidRDefault="004365AD" w:rsidP="00022662">
      <w:pPr>
        <w:pStyle w:val="Heading2"/>
        <w:keepNext w:val="0"/>
        <w:tabs>
          <w:tab w:val="num" w:pos="709"/>
        </w:tabs>
        <w:ind w:left="567"/>
        <w:jc w:val="both"/>
        <w:rPr>
          <w:rFonts w:ascii="Times New Roman" w:hAnsi="Times New Roman"/>
          <w:sz w:val="22"/>
          <w:szCs w:val="22"/>
        </w:rPr>
      </w:pPr>
      <w:r w:rsidRPr="00705C62">
        <w:rPr>
          <w:rFonts w:ascii="Times New Roman" w:hAnsi="Times New Roman"/>
          <w:color w:val="000000" w:themeColor="text1"/>
          <w:sz w:val="22"/>
        </w:rPr>
        <w:t xml:space="preserve">Los licitadores deberán certificar mediante declaración firmada por su representante que se atienen a este requisito. </w:t>
      </w:r>
      <w:r w:rsidR="00B85B2C" w:rsidRPr="00B85B2C">
        <w:rPr>
          <w:rFonts w:ascii="Times New Roman" w:hAnsi="Times New Roman"/>
          <w:color w:val="000000"/>
          <w:sz w:val="22"/>
          <w:lang w:val="es-ES_tradnl"/>
        </w:rPr>
        <w:t xml:space="preserve">El licitador </w:t>
      </w:r>
      <w:r w:rsidR="00D56F37" w:rsidRPr="00B85B2C">
        <w:rPr>
          <w:rFonts w:ascii="Times New Roman" w:hAnsi="Times New Roman"/>
          <w:color w:val="000000"/>
          <w:sz w:val="22"/>
          <w:lang w:val="es-ES_tradnl"/>
        </w:rPr>
        <w:t>est</w:t>
      </w:r>
      <w:r w:rsidR="00D56F37">
        <w:rPr>
          <w:rFonts w:ascii="Times New Roman" w:hAnsi="Times New Roman"/>
          <w:color w:val="000000"/>
          <w:sz w:val="22"/>
          <w:lang w:val="es-ES_tradnl"/>
        </w:rPr>
        <w:t>ar</w:t>
      </w:r>
      <w:r w:rsidR="00D56F37" w:rsidRPr="00B85B2C">
        <w:rPr>
          <w:rFonts w:ascii="Times New Roman" w:hAnsi="Times New Roman"/>
          <w:color w:val="000000"/>
          <w:sz w:val="22"/>
          <w:lang w:val="es-ES_tradnl"/>
        </w:rPr>
        <w:t>á</w:t>
      </w:r>
      <w:r w:rsidR="00B85B2C" w:rsidRPr="00B85B2C">
        <w:rPr>
          <w:rFonts w:ascii="Times New Roman" w:hAnsi="Times New Roman"/>
          <w:color w:val="000000"/>
          <w:sz w:val="22"/>
          <w:lang w:val="es-ES_tradnl"/>
        </w:rPr>
        <w:t xml:space="preserve"> obligado a comprobar que la información facilitada es correcta</w:t>
      </w:r>
      <w:r w:rsidR="00B85B2C">
        <w:rPr>
          <w:rFonts w:ascii="Times New Roman" w:hAnsi="Times New Roman"/>
          <w:color w:val="000000"/>
          <w:sz w:val="22"/>
          <w:lang w:val="es-ES_tradnl"/>
        </w:rPr>
        <w:t xml:space="preserve">; de lo contrario, </w:t>
      </w:r>
      <w:r w:rsidR="00B85B2C" w:rsidRPr="00B85B2C">
        <w:rPr>
          <w:rFonts w:ascii="Times New Roman" w:hAnsi="Times New Roman"/>
          <w:color w:val="000000"/>
          <w:sz w:val="22"/>
          <w:lang w:val="es-ES_tradnl"/>
        </w:rPr>
        <w:t xml:space="preserve">podrá quedar excluido por </w:t>
      </w:r>
      <w:r w:rsidR="00E9043F">
        <w:rPr>
          <w:rFonts w:ascii="Times New Roman" w:hAnsi="Times New Roman"/>
          <w:sz w:val="22"/>
        </w:rPr>
        <w:t>facilitar información de manera negligente</w:t>
      </w:r>
      <w:r w:rsidR="00022662" w:rsidRPr="00B85B2C">
        <w:rPr>
          <w:rFonts w:ascii="Times New Roman" w:hAnsi="Times New Roman"/>
          <w:color w:val="000000" w:themeColor="text1"/>
          <w:sz w:val="22"/>
          <w:lang w:val="es-ES_tradnl"/>
        </w:rPr>
        <w:t xml:space="preserve">. </w:t>
      </w:r>
      <w:r w:rsidRPr="00705C62">
        <w:rPr>
          <w:rFonts w:ascii="Times New Roman" w:hAnsi="Times New Roman"/>
          <w:color w:val="000000" w:themeColor="text1"/>
          <w:sz w:val="22"/>
        </w:rPr>
        <w:t>Para</w:t>
      </w:r>
      <w:r>
        <w:rPr>
          <w:rFonts w:ascii="Times New Roman" w:hAnsi="Times New Roman"/>
          <w:sz w:val="22"/>
        </w:rPr>
        <w:t xml:space="preserve"> más </w:t>
      </w:r>
      <w:r w:rsidR="00AA3993">
        <w:rPr>
          <w:rFonts w:ascii="Times New Roman" w:hAnsi="Times New Roman"/>
          <w:sz w:val="22"/>
        </w:rPr>
        <w:t>detalles,</w:t>
      </w:r>
      <w:r>
        <w:rPr>
          <w:rFonts w:ascii="Times New Roman" w:hAnsi="Times New Roman"/>
          <w:sz w:val="22"/>
        </w:rPr>
        <w:t xml:space="preserve"> véase el </w:t>
      </w:r>
      <w:r w:rsidR="00E9043F">
        <w:rPr>
          <w:rFonts w:ascii="Times New Roman" w:hAnsi="Times New Roman"/>
          <w:sz w:val="22"/>
        </w:rPr>
        <w:t xml:space="preserve">apartado </w:t>
      </w:r>
      <w:r>
        <w:rPr>
          <w:rFonts w:ascii="Times New Roman" w:hAnsi="Times New Roman"/>
          <w:sz w:val="22"/>
        </w:rPr>
        <w:t>2.3.</w:t>
      </w:r>
      <w:r w:rsidR="00022662">
        <w:rPr>
          <w:rFonts w:ascii="Times New Roman" w:hAnsi="Times New Roman"/>
          <w:sz w:val="22"/>
        </w:rPr>
        <w:t>5</w:t>
      </w:r>
      <w:r>
        <w:rPr>
          <w:rFonts w:ascii="Times New Roman" w:hAnsi="Times New Roman"/>
          <w:sz w:val="22"/>
        </w:rPr>
        <w:t xml:space="preserve"> de la Guía Práctica.</w:t>
      </w:r>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4.2</w:t>
      </w:r>
      <w:r>
        <w:tab/>
      </w:r>
      <w:r>
        <w:rPr>
          <w:rFonts w:ascii="Times New Roman" w:hAnsi="Times New Roman"/>
          <w:sz w:val="22"/>
        </w:rPr>
        <w:t>Al presentar su oferta, los licitadores deberán indicar expresamente que todos los suministros cumplen los requisitos relativos al origen y mencionar los respectivos países de origen. A tal efecto, se le podrá requerir la presentación de información adicional.</w:t>
      </w:r>
    </w:p>
    <w:p w:rsidR="0047783A" w:rsidRPr="00E82463" w:rsidRDefault="0047783A" w:rsidP="00710F13">
      <w:pPr>
        <w:pStyle w:val="Heading1"/>
      </w:pPr>
      <w:bookmarkStart w:id="10" w:name="_Toc42488074"/>
      <w:r>
        <w:t>Tipo de contrato</w:t>
      </w:r>
      <w:bookmarkEnd w:id="10"/>
    </w:p>
    <w:p w:rsidR="0047783A" w:rsidRPr="00E82463" w:rsidRDefault="00D8732D" w:rsidP="0047783A">
      <w:pPr>
        <w:pStyle w:val="Heading2"/>
        <w:keepNext w:val="0"/>
        <w:ind w:left="567"/>
        <w:jc w:val="both"/>
        <w:rPr>
          <w:rFonts w:ascii="Times New Roman" w:hAnsi="Times New Roman"/>
          <w:sz w:val="22"/>
        </w:rPr>
      </w:pPr>
      <w:r>
        <w:rPr>
          <w:rFonts w:ascii="Times New Roman" w:hAnsi="Times New Roman"/>
          <w:sz w:val="22"/>
        </w:rPr>
        <w:t>[</w:t>
      </w:r>
      <w:r>
        <w:rPr>
          <w:rFonts w:ascii="Times New Roman" w:hAnsi="Times New Roman"/>
          <w:sz w:val="22"/>
          <w:highlight w:val="lightGray"/>
        </w:rPr>
        <w:t>cantidad fija única</w:t>
      </w:r>
      <w:r>
        <w:rPr>
          <w:rFonts w:ascii="Times New Roman" w:hAnsi="Times New Roman"/>
          <w:sz w:val="22"/>
        </w:rPr>
        <w:t>] [</w:t>
      </w:r>
      <w:r>
        <w:rPr>
          <w:rFonts w:ascii="Times New Roman" w:hAnsi="Times New Roman"/>
          <w:sz w:val="22"/>
          <w:highlight w:val="lightGray"/>
        </w:rPr>
        <w:t>precio unitario</w:t>
      </w:r>
      <w:r>
        <w:rPr>
          <w:rFonts w:ascii="Times New Roman" w:hAnsi="Times New Roman"/>
          <w:sz w:val="22"/>
        </w:rPr>
        <w:t>] [</w:t>
      </w:r>
      <w:r>
        <w:rPr>
          <w:rFonts w:ascii="Times New Roman" w:hAnsi="Times New Roman"/>
          <w:sz w:val="22"/>
          <w:highlight w:val="lightGray"/>
        </w:rPr>
        <w:t>precio compuesto</w:t>
      </w:r>
      <w:r>
        <w:rPr>
          <w:rFonts w:ascii="Times New Roman" w:hAnsi="Times New Roman"/>
          <w:sz w:val="22"/>
        </w:rPr>
        <w:t>]</w:t>
      </w:r>
    </w:p>
    <w:p w:rsidR="0047783A" w:rsidRPr="00E82463" w:rsidRDefault="0047783A" w:rsidP="00710F13">
      <w:pPr>
        <w:pStyle w:val="Heading1"/>
      </w:pPr>
      <w:bookmarkStart w:id="11" w:name="_Toc42488075"/>
      <w:r>
        <w:t>Moneda</w:t>
      </w:r>
      <w:bookmarkEnd w:id="11"/>
    </w:p>
    <w:p w:rsidR="0047783A" w:rsidRPr="00E82463" w:rsidRDefault="0047783A" w:rsidP="0047783A">
      <w:pPr>
        <w:pStyle w:val="Heading2"/>
        <w:keepNext w:val="0"/>
        <w:ind w:left="567"/>
        <w:jc w:val="both"/>
        <w:rPr>
          <w:rFonts w:ascii="Times New Roman" w:hAnsi="Times New Roman"/>
          <w:sz w:val="22"/>
        </w:rPr>
      </w:pPr>
      <w:r>
        <w:rPr>
          <w:rFonts w:ascii="Times New Roman" w:hAnsi="Times New Roman"/>
          <w:sz w:val="22"/>
        </w:rPr>
        <w:t>Las ofertas se deberán presentar en [</w:t>
      </w:r>
      <w:r>
        <w:rPr>
          <w:rFonts w:ascii="Times New Roman" w:hAnsi="Times New Roman"/>
          <w:sz w:val="22"/>
          <w:highlight w:val="lightGray"/>
        </w:rPr>
        <w:t>EUR</w:t>
      </w:r>
      <w:r>
        <w:rPr>
          <w:rFonts w:ascii="Times New Roman" w:hAnsi="Times New Roman"/>
          <w:sz w:val="22"/>
        </w:rPr>
        <w:t xml:space="preserve">] </w:t>
      </w:r>
      <w:r>
        <w:rPr>
          <w:rFonts w:ascii="Times New Roman" w:hAnsi="Times New Roman"/>
          <w:sz w:val="22"/>
          <w:highlight w:val="lightGray"/>
        </w:rPr>
        <w:t>[&lt;</w:t>
      </w:r>
      <w:r>
        <w:rPr>
          <w:rFonts w:ascii="Times New Roman" w:hAnsi="Times New Roman"/>
          <w:sz w:val="22"/>
          <w:highlight w:val="yellow"/>
        </w:rPr>
        <w:t>Código ISO de la moneda nacional</w:t>
      </w:r>
      <w:r>
        <w:rPr>
          <w:rFonts w:ascii="Times New Roman" w:hAnsi="Times New Roman"/>
          <w:sz w:val="22"/>
          <w:highlight w:val="lightGray"/>
        </w:rPr>
        <w:t>&gt;</w:t>
      </w:r>
      <w:r>
        <w:rPr>
          <w:rFonts w:ascii="Times New Roman" w:hAnsi="Times New Roman"/>
          <w:sz w:val="22"/>
          <w:highlight w:val="yellow"/>
        </w:rPr>
        <w:t xml:space="preserve">solo para la gestión indirecta en los siguientes casos: i) cuando las restricciones legales o locales impongan excepcionalmente el uso de la moneda nacional; ii) cuando sea necesario, para los contratos </w:t>
      </w:r>
      <w:r w:rsidR="00AA3993">
        <w:rPr>
          <w:rFonts w:ascii="Times New Roman" w:hAnsi="Times New Roman"/>
          <w:sz w:val="22"/>
          <w:highlight w:val="yellow"/>
        </w:rPr>
        <w:t xml:space="preserve">enmarcados en </w:t>
      </w:r>
      <w:r>
        <w:rPr>
          <w:rFonts w:ascii="Times New Roman" w:hAnsi="Times New Roman"/>
          <w:sz w:val="22"/>
          <w:highlight w:val="yellow"/>
        </w:rPr>
        <w:t>el componente de anticipos de un presupuesto-programa</w:t>
      </w:r>
      <w:r>
        <w:rPr>
          <w:rFonts w:ascii="Times New Roman" w:hAnsi="Times New Roman"/>
          <w:sz w:val="22"/>
        </w:rPr>
        <w:t>]</w:t>
      </w:r>
      <w:r>
        <w:rPr>
          <w:rStyle w:val="FootnoteReference"/>
          <w:rFonts w:ascii="Times New Roman" w:hAnsi="Times New Roman"/>
          <w:sz w:val="22"/>
        </w:rPr>
        <w:footnoteReference w:id="3"/>
      </w:r>
      <w:r>
        <w:t>.</w:t>
      </w:r>
    </w:p>
    <w:p w:rsidR="0047783A" w:rsidRPr="00E82463" w:rsidRDefault="0047783A" w:rsidP="00710F13">
      <w:pPr>
        <w:pStyle w:val="Heading1"/>
      </w:pPr>
      <w:bookmarkStart w:id="12" w:name="_Toc42488076"/>
      <w:r>
        <w:t>Lotes</w:t>
      </w:r>
      <w:bookmarkEnd w:id="12"/>
    </w:p>
    <w:p w:rsidR="0047783A" w:rsidRPr="00E82463" w:rsidRDefault="0047783A" w:rsidP="00E82463">
      <w:pPr>
        <w:ind w:left="567"/>
        <w:jc w:val="both"/>
        <w:rPr>
          <w:rFonts w:ascii="Times New Roman" w:hAnsi="Times New Roman"/>
          <w:sz w:val="22"/>
          <w:highlight w:val="yellow"/>
        </w:rPr>
      </w:pPr>
      <w:r>
        <w:rPr>
          <w:rFonts w:ascii="Times New Roman" w:hAnsi="Times New Roman"/>
          <w:sz w:val="22"/>
          <w:highlight w:val="yellow"/>
        </w:rPr>
        <w:t>[Si la licitación no está dividida en lotes:</w:t>
      </w:r>
    </w:p>
    <w:p w:rsidR="0047783A" w:rsidRPr="00E82463" w:rsidRDefault="0047783A" w:rsidP="00E82463">
      <w:pPr>
        <w:ind w:left="567"/>
        <w:jc w:val="both"/>
        <w:rPr>
          <w:rFonts w:ascii="Times New Roman" w:hAnsi="Times New Roman"/>
          <w:sz w:val="22"/>
        </w:rPr>
      </w:pPr>
      <w:r>
        <w:rPr>
          <w:rFonts w:ascii="Times New Roman" w:hAnsi="Times New Roman"/>
          <w:sz w:val="22"/>
          <w:highlight w:val="lightGray"/>
        </w:rPr>
        <w:t>La presente licitación no está dividida en lotes].</w:t>
      </w:r>
    </w:p>
    <w:p w:rsidR="0047783A" w:rsidRPr="00E82463" w:rsidRDefault="0047783A" w:rsidP="00E82463">
      <w:pPr>
        <w:ind w:left="567"/>
        <w:jc w:val="both"/>
        <w:rPr>
          <w:rFonts w:ascii="Times New Roman" w:hAnsi="Times New Roman"/>
          <w:sz w:val="22"/>
        </w:rPr>
      </w:pPr>
      <w:r>
        <w:rPr>
          <w:rFonts w:ascii="Times New Roman" w:hAnsi="Times New Roman"/>
          <w:sz w:val="22"/>
          <w:highlight w:val="yellow"/>
        </w:rPr>
        <w:t>[Si la licitación está dividida en lotes:</w:t>
      </w:r>
    </w:p>
    <w:p w:rsidR="0047783A" w:rsidRPr="00E82463" w:rsidRDefault="0047783A" w:rsidP="00E82463">
      <w:pPr>
        <w:pStyle w:val="Heading2"/>
        <w:keepNext w:val="0"/>
        <w:ind w:left="567" w:hanging="567"/>
        <w:jc w:val="both"/>
        <w:rPr>
          <w:rFonts w:ascii="Times New Roman" w:hAnsi="Times New Roman"/>
          <w:sz w:val="22"/>
          <w:highlight w:val="lightGray"/>
        </w:rPr>
      </w:pPr>
      <w:r>
        <w:rPr>
          <w:rFonts w:ascii="Times New Roman" w:hAnsi="Times New Roman"/>
          <w:sz w:val="22"/>
          <w:highlight w:val="lightGray"/>
        </w:rPr>
        <w:t>7.1</w:t>
      </w:r>
      <w:r w:rsidRPr="00D273BE">
        <w:rPr>
          <w:rFonts w:ascii="Times New Roman" w:hAnsi="Times New Roman"/>
          <w:sz w:val="22"/>
          <w:highlight w:val="lightGray"/>
        </w:rPr>
        <w:tab/>
      </w:r>
      <w:r>
        <w:rPr>
          <w:rFonts w:ascii="Times New Roman" w:hAnsi="Times New Roman"/>
          <w:sz w:val="22"/>
          <w:highlight w:val="lightGray"/>
        </w:rPr>
        <w:t>El licitador podrá presentar una oferta para [un único lote] [un lote, varios o todos los lotes].</w:t>
      </w:r>
    </w:p>
    <w:p w:rsidR="0047783A" w:rsidRPr="00E82463" w:rsidRDefault="0047783A" w:rsidP="00E82463">
      <w:pPr>
        <w:pStyle w:val="Heading2"/>
        <w:keepNext w:val="0"/>
        <w:ind w:left="567" w:hanging="567"/>
        <w:jc w:val="both"/>
        <w:rPr>
          <w:rFonts w:ascii="Times New Roman" w:hAnsi="Times New Roman"/>
          <w:highlight w:val="lightGray"/>
        </w:rPr>
      </w:pPr>
      <w:r>
        <w:rPr>
          <w:rFonts w:ascii="Times New Roman" w:hAnsi="Times New Roman"/>
          <w:sz w:val="22"/>
          <w:highlight w:val="lightGray"/>
        </w:rPr>
        <w:t>7.2</w:t>
      </w:r>
      <w:r w:rsidRPr="00D273BE">
        <w:rPr>
          <w:rFonts w:ascii="Times New Roman" w:hAnsi="Times New Roman"/>
          <w:sz w:val="22"/>
          <w:highlight w:val="lightGray"/>
        </w:rPr>
        <w:tab/>
      </w:r>
      <w:r>
        <w:rPr>
          <w:rFonts w:ascii="Times New Roman" w:hAnsi="Times New Roman"/>
          <w:sz w:val="22"/>
          <w:highlight w:val="lightGray"/>
        </w:rPr>
        <w:t>Cada lote será objeto de un contrato independiente y las cantidades indicadas para cada lote serán indivisibles. El licitador deberá presentar una oferta para el total de la cantidad o cantidades indicadas para cada lote. No se tendrán en cuenta en ningún caso ofertas referidas a parte de las cantidades requeridas. Si se adjudicaran varios lotes a un mismo licitador, se podrá celebrar un contrato global por el conjunto de esos lotes.</w:t>
      </w:r>
    </w:p>
    <w:p w:rsidR="0047783A" w:rsidRPr="00E82463" w:rsidRDefault="0047783A" w:rsidP="00E82463">
      <w:pPr>
        <w:pStyle w:val="Heading2"/>
        <w:keepNext w:val="0"/>
        <w:ind w:left="567" w:hanging="567"/>
        <w:jc w:val="both"/>
        <w:rPr>
          <w:rFonts w:ascii="Times New Roman" w:hAnsi="Times New Roman"/>
          <w:sz w:val="22"/>
          <w:highlight w:val="lightGray"/>
        </w:rPr>
      </w:pPr>
      <w:r>
        <w:rPr>
          <w:rFonts w:ascii="Times New Roman" w:hAnsi="Times New Roman"/>
          <w:sz w:val="22"/>
          <w:highlight w:val="lightGray"/>
        </w:rPr>
        <w:t>7.3</w:t>
      </w:r>
      <w:r w:rsidRPr="00D273BE">
        <w:rPr>
          <w:rFonts w:ascii="Times New Roman" w:hAnsi="Times New Roman"/>
          <w:sz w:val="22"/>
          <w:highlight w:val="lightGray"/>
        </w:rPr>
        <w:tab/>
      </w:r>
      <w:r>
        <w:rPr>
          <w:rFonts w:ascii="Times New Roman" w:hAnsi="Times New Roman"/>
          <w:sz w:val="22"/>
          <w:highlight w:val="lightGray"/>
        </w:rPr>
        <w:t>El licitador podrá incluir en su oferta el descuento global que podría conceder si se le adjudicaran algunos o todos los lotes para los que hayan presentado una oferta. El descuento correspondiente a cada lote deberá indicarse claramente, de manera que pueda anunciarse durante la sesión pública de apertura de plicas.</w:t>
      </w:r>
    </w:p>
    <w:p w:rsidR="0047783A" w:rsidRPr="00E82463" w:rsidRDefault="0047783A" w:rsidP="00E82463">
      <w:pPr>
        <w:pStyle w:val="Heading2"/>
        <w:keepNext w:val="0"/>
        <w:ind w:left="567" w:hanging="567"/>
        <w:jc w:val="both"/>
        <w:rPr>
          <w:rFonts w:ascii="Times New Roman" w:hAnsi="Times New Roman"/>
        </w:rPr>
      </w:pPr>
      <w:r>
        <w:rPr>
          <w:rFonts w:ascii="Times New Roman" w:hAnsi="Times New Roman"/>
          <w:sz w:val="22"/>
          <w:highlight w:val="lightGray"/>
        </w:rPr>
        <w:t>7.4</w:t>
      </w:r>
      <w:r w:rsidRPr="00D273BE">
        <w:rPr>
          <w:rFonts w:ascii="Times New Roman" w:hAnsi="Times New Roman"/>
          <w:sz w:val="22"/>
          <w:highlight w:val="lightGray"/>
        </w:rPr>
        <w:tab/>
      </w:r>
      <w:r>
        <w:rPr>
          <w:rFonts w:ascii="Times New Roman" w:hAnsi="Times New Roman"/>
          <w:sz w:val="22"/>
          <w:highlight w:val="lightGray"/>
        </w:rPr>
        <w:t>El contrato se adjudicará lote por lote, pero el Órgano de Contratación podrá elegir la solución global más favorable, después de tener en cuenta los posibles descuentos concedidos.]</w:t>
      </w:r>
    </w:p>
    <w:p w:rsidR="0047783A" w:rsidRPr="00E82463" w:rsidRDefault="00CD7BFB" w:rsidP="00710F13">
      <w:pPr>
        <w:pStyle w:val="Heading1"/>
      </w:pPr>
      <w:bookmarkStart w:id="13" w:name="_Toc42488077"/>
      <w:r>
        <w:t>Período</w:t>
      </w:r>
      <w:r w:rsidR="0047783A">
        <w:t xml:space="preserve"> de validez</w:t>
      </w:r>
      <w:bookmarkEnd w:id="13"/>
    </w:p>
    <w:p w:rsidR="0047783A" w:rsidRPr="00E82463" w:rsidRDefault="0047783A" w:rsidP="0047783A">
      <w:pPr>
        <w:pStyle w:val="Heading2"/>
        <w:keepNext w:val="0"/>
        <w:tabs>
          <w:tab w:val="num" w:pos="567"/>
        </w:tabs>
        <w:ind w:left="567" w:hanging="567"/>
        <w:jc w:val="both"/>
        <w:rPr>
          <w:rFonts w:ascii="Times New Roman" w:hAnsi="Times New Roman"/>
          <w:sz w:val="22"/>
        </w:rPr>
      </w:pPr>
      <w:r>
        <w:rPr>
          <w:rFonts w:ascii="Times New Roman" w:hAnsi="Times New Roman"/>
          <w:sz w:val="22"/>
        </w:rPr>
        <w:t>8.1</w:t>
      </w:r>
      <w:r>
        <w:tab/>
      </w:r>
      <w:r>
        <w:rPr>
          <w:rFonts w:ascii="Times New Roman" w:hAnsi="Times New Roman"/>
          <w:sz w:val="22"/>
        </w:rPr>
        <w:t xml:space="preserve">Las ofertas seguirán vinculando a los licitadores durante 90 días a contar desde la </w:t>
      </w:r>
      <w:r w:rsidR="00AA3993">
        <w:rPr>
          <w:rFonts w:ascii="Times New Roman" w:hAnsi="Times New Roman"/>
          <w:sz w:val="22"/>
        </w:rPr>
        <w:t xml:space="preserve">finalización del plazo </w:t>
      </w:r>
      <w:r>
        <w:rPr>
          <w:rFonts w:ascii="Times New Roman" w:hAnsi="Times New Roman"/>
          <w:sz w:val="22"/>
        </w:rPr>
        <w:t>de presentación de las ofertas.</w:t>
      </w:r>
    </w:p>
    <w:p w:rsidR="0047783A" w:rsidRPr="00E66FD7" w:rsidRDefault="0047783A" w:rsidP="00022662">
      <w:pPr>
        <w:pStyle w:val="Heading2"/>
        <w:keepNext w:val="0"/>
        <w:tabs>
          <w:tab w:val="num" w:pos="567"/>
        </w:tabs>
        <w:ind w:left="567" w:hanging="567"/>
        <w:jc w:val="both"/>
        <w:rPr>
          <w:rFonts w:ascii="Times New Roman" w:hAnsi="Times New Roman"/>
          <w:sz w:val="22"/>
        </w:rPr>
      </w:pPr>
      <w:r>
        <w:rPr>
          <w:rFonts w:ascii="Times New Roman" w:hAnsi="Times New Roman"/>
          <w:sz w:val="22"/>
        </w:rPr>
        <w:t>8.2</w:t>
      </w:r>
      <w:r>
        <w:tab/>
      </w:r>
      <w:r>
        <w:rPr>
          <w:rFonts w:ascii="Times New Roman" w:hAnsi="Times New Roman"/>
          <w:sz w:val="22"/>
        </w:rPr>
        <w:t xml:space="preserve">En circunstancias excepcionales y antes de que expire el </w:t>
      </w:r>
      <w:r w:rsidR="00CD7BFB">
        <w:rPr>
          <w:rFonts w:ascii="Times New Roman" w:hAnsi="Times New Roman"/>
          <w:sz w:val="22"/>
        </w:rPr>
        <w:t>período</w:t>
      </w:r>
      <w:r>
        <w:rPr>
          <w:rFonts w:ascii="Times New Roman" w:hAnsi="Times New Roman"/>
          <w:sz w:val="22"/>
        </w:rPr>
        <w:t xml:space="preserve"> de validez inicial previsto, el Órgano de Contratación puede solicitar por escrito a los licitadores una prórroga de ese </w:t>
      </w:r>
      <w:r w:rsidR="00CD7BFB">
        <w:rPr>
          <w:rFonts w:ascii="Times New Roman" w:hAnsi="Times New Roman"/>
          <w:sz w:val="22"/>
        </w:rPr>
        <w:t>período</w:t>
      </w:r>
      <w:r>
        <w:rPr>
          <w:rFonts w:ascii="Times New Roman" w:hAnsi="Times New Roman"/>
          <w:sz w:val="22"/>
        </w:rPr>
        <w:t xml:space="preserve"> de una duración de 40 días. Estas solicitudes y las respuestas correspondientes se harán por escrito. Los licitadores que acepten esta solicitud no estarán autorizados a modificar su oferta y quedarán obligados a ampliar la validez de las garantías de licitación por el </w:t>
      </w:r>
      <w:r w:rsidR="00CD7BFB">
        <w:rPr>
          <w:rFonts w:ascii="Times New Roman" w:hAnsi="Times New Roman"/>
          <w:sz w:val="22"/>
        </w:rPr>
        <w:t>período</w:t>
      </w:r>
      <w:r>
        <w:rPr>
          <w:rFonts w:ascii="Times New Roman" w:hAnsi="Times New Roman"/>
          <w:sz w:val="22"/>
        </w:rPr>
        <w:t xml:space="preserve"> revisado de validez de la oferta. En caso de rechazo, los licitadores dejarán de participar en el procedimiento sin perder las garantías de licitación. En caso de que se requiera al Órgano de Contratación que obtenga la recomendación del grupo de expertos a que se hace referencia en </w:t>
      </w:r>
      <w:r w:rsidR="00AA3993">
        <w:rPr>
          <w:rFonts w:ascii="Times New Roman" w:hAnsi="Times New Roman"/>
          <w:sz w:val="22"/>
        </w:rPr>
        <w:t xml:space="preserve">el apartado </w:t>
      </w:r>
      <w:r>
        <w:rPr>
          <w:rFonts w:ascii="Times New Roman" w:hAnsi="Times New Roman"/>
          <w:sz w:val="22"/>
        </w:rPr>
        <w:t>2.</w:t>
      </w:r>
      <w:r w:rsidR="00022662">
        <w:rPr>
          <w:rFonts w:ascii="Times New Roman" w:hAnsi="Times New Roman"/>
          <w:sz w:val="22"/>
        </w:rPr>
        <w:t>6.10.1</w:t>
      </w:r>
      <w:r>
        <w:rPr>
          <w:rFonts w:ascii="Times New Roman" w:hAnsi="Times New Roman"/>
          <w:sz w:val="22"/>
        </w:rPr>
        <w:t xml:space="preserve">.1 de la Guía Práctica, el Órgano de Contratación podrá, antes de la expiración del </w:t>
      </w:r>
      <w:r w:rsidR="00CD7BFB">
        <w:rPr>
          <w:rFonts w:ascii="Times New Roman" w:hAnsi="Times New Roman"/>
          <w:sz w:val="22"/>
        </w:rPr>
        <w:t>período</w:t>
      </w:r>
      <w:r>
        <w:rPr>
          <w:rFonts w:ascii="Times New Roman" w:hAnsi="Times New Roman"/>
          <w:sz w:val="22"/>
        </w:rPr>
        <w:t xml:space="preserve"> de validez, solicitar una prórroga de la validez de las ofertas hasta la adopción de la recomendación.</w:t>
      </w:r>
    </w:p>
    <w:p w:rsidR="0047783A" w:rsidRPr="00E82463" w:rsidRDefault="0047783A" w:rsidP="00AC07D4">
      <w:pPr>
        <w:tabs>
          <w:tab w:val="num" w:pos="567"/>
        </w:tabs>
        <w:ind w:left="567" w:hanging="567"/>
        <w:jc w:val="both"/>
        <w:rPr>
          <w:rFonts w:ascii="Times New Roman" w:hAnsi="Times New Roman"/>
        </w:rPr>
      </w:pPr>
      <w:r>
        <w:rPr>
          <w:rFonts w:ascii="Times New Roman" w:hAnsi="Times New Roman"/>
          <w:sz w:val="22"/>
        </w:rPr>
        <w:t>8.3</w:t>
      </w:r>
      <w:r>
        <w:tab/>
      </w:r>
      <w:r>
        <w:rPr>
          <w:rFonts w:ascii="Times New Roman" w:hAnsi="Times New Roman"/>
          <w:sz w:val="22"/>
        </w:rPr>
        <w:t xml:space="preserve">La oferta vinculará al </w:t>
      </w:r>
      <w:r w:rsidR="004A5EEE">
        <w:rPr>
          <w:rFonts w:ascii="Times New Roman" w:hAnsi="Times New Roman"/>
          <w:sz w:val="22"/>
        </w:rPr>
        <w:t>adjudicatario</w:t>
      </w:r>
      <w:r>
        <w:rPr>
          <w:rFonts w:ascii="Times New Roman" w:hAnsi="Times New Roman"/>
          <w:sz w:val="22"/>
        </w:rPr>
        <w:t xml:space="preserve"> durante un </w:t>
      </w:r>
      <w:r w:rsidR="00CD7BFB">
        <w:rPr>
          <w:rFonts w:ascii="Times New Roman" w:hAnsi="Times New Roman"/>
          <w:sz w:val="22"/>
        </w:rPr>
        <w:t>período</w:t>
      </w:r>
      <w:r>
        <w:rPr>
          <w:rFonts w:ascii="Times New Roman" w:hAnsi="Times New Roman"/>
          <w:sz w:val="22"/>
        </w:rPr>
        <w:t xml:space="preserve"> adicional de 60 días. El </w:t>
      </w:r>
      <w:r w:rsidR="00CD7BFB">
        <w:rPr>
          <w:rFonts w:ascii="Times New Roman" w:hAnsi="Times New Roman"/>
          <w:sz w:val="22"/>
        </w:rPr>
        <w:t>período</w:t>
      </w:r>
      <w:r>
        <w:rPr>
          <w:rFonts w:ascii="Times New Roman" w:hAnsi="Times New Roman"/>
          <w:sz w:val="22"/>
        </w:rPr>
        <w:t xml:space="preserve"> adicional se añadirá al </w:t>
      </w:r>
      <w:r w:rsidR="00CD7BFB">
        <w:rPr>
          <w:rFonts w:ascii="Times New Roman" w:hAnsi="Times New Roman"/>
          <w:sz w:val="22"/>
        </w:rPr>
        <w:t>período</w:t>
      </w:r>
      <w:r>
        <w:rPr>
          <w:rFonts w:ascii="Times New Roman" w:hAnsi="Times New Roman"/>
          <w:sz w:val="22"/>
        </w:rPr>
        <w:t xml:space="preserve"> de validez de la oferta independientemente de la fecha de notificación.</w:t>
      </w:r>
    </w:p>
    <w:p w:rsidR="0047783A" w:rsidRPr="00E82463" w:rsidRDefault="0047783A" w:rsidP="00710F13">
      <w:pPr>
        <w:pStyle w:val="Heading1"/>
      </w:pPr>
      <w:bookmarkStart w:id="14" w:name="_Toc42488078"/>
      <w:bookmarkStart w:id="15" w:name="_Ref500330462"/>
      <w:r>
        <w:t xml:space="preserve">Lengua de las </w:t>
      </w:r>
      <w:bookmarkEnd w:id="14"/>
      <w:r>
        <w:t>ofertas</w:t>
      </w:r>
    </w:p>
    <w:bookmarkEnd w:id="15"/>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9.1</w:t>
      </w:r>
      <w:r>
        <w:tab/>
      </w:r>
      <w:r>
        <w:rPr>
          <w:rFonts w:ascii="Times New Roman" w:hAnsi="Times New Roman"/>
          <w:sz w:val="22"/>
        </w:rPr>
        <w:t>Las ofertas, toda la correspondencia y los documentos relacionados con las ofertas que se intercambien entre el licitador y el Órgano de Contratación se deberán redactar en la lengua del procedimiento que es el español.</w:t>
      </w:r>
    </w:p>
    <w:p w:rsidR="0047783A" w:rsidRPr="00E82463" w:rsidRDefault="0047783A" w:rsidP="0047783A">
      <w:pPr>
        <w:pStyle w:val="Heading2"/>
        <w:keepNext w:val="0"/>
        <w:ind w:left="567"/>
        <w:jc w:val="both"/>
        <w:rPr>
          <w:rFonts w:ascii="Times New Roman" w:hAnsi="Times New Roman"/>
          <w:sz w:val="22"/>
        </w:rPr>
      </w:pPr>
      <w:r>
        <w:rPr>
          <w:rFonts w:ascii="Times New Roman" w:hAnsi="Times New Roman"/>
          <w:sz w:val="22"/>
        </w:rPr>
        <w:t xml:space="preserve">Si los </w:t>
      </w:r>
      <w:r w:rsidR="00AC1FFD">
        <w:rPr>
          <w:rFonts w:ascii="Times New Roman" w:hAnsi="Times New Roman"/>
          <w:sz w:val="22"/>
        </w:rPr>
        <w:t>justificantes</w:t>
      </w:r>
      <w:r>
        <w:rPr>
          <w:rFonts w:ascii="Times New Roman" w:hAnsi="Times New Roman"/>
          <w:sz w:val="22"/>
        </w:rPr>
        <w:t xml:space="preserve"> no están redactados en una de las lenguas oficiales de la Unión Europea, deberá adjuntarse una traducción a la lengua del anuncio de licitación. Cuando los documentos estén redactados en una lengua oficial de la Unión Europea distinta del </w:t>
      </w:r>
      <w:r w:rsidR="004A5EEE">
        <w:rPr>
          <w:rFonts w:ascii="Times New Roman" w:hAnsi="Times New Roman"/>
          <w:sz w:val="22"/>
        </w:rPr>
        <w:t>español</w:t>
      </w:r>
      <w:r>
        <w:rPr>
          <w:rFonts w:ascii="Times New Roman" w:hAnsi="Times New Roman"/>
          <w:sz w:val="22"/>
        </w:rPr>
        <w:t xml:space="preserve">, se recomienda encarecidamente adjuntar una traducción al </w:t>
      </w:r>
      <w:r w:rsidR="004A5EEE">
        <w:rPr>
          <w:rFonts w:ascii="Times New Roman" w:hAnsi="Times New Roman"/>
          <w:sz w:val="22"/>
        </w:rPr>
        <w:t>español</w:t>
      </w:r>
      <w:r>
        <w:rPr>
          <w:rFonts w:ascii="Times New Roman" w:hAnsi="Times New Roman"/>
          <w:sz w:val="22"/>
        </w:rPr>
        <w:t xml:space="preserve"> para facilitar la evaluación de los documentos.</w:t>
      </w:r>
    </w:p>
    <w:p w:rsidR="0047783A" w:rsidRPr="00E82463" w:rsidRDefault="0047783A" w:rsidP="00710F13">
      <w:pPr>
        <w:pStyle w:val="Heading1"/>
      </w:pPr>
      <w:bookmarkStart w:id="16" w:name="_Toc42488079"/>
      <w:r>
        <w:t>Presentación de las ofertas</w:t>
      </w:r>
      <w:bookmarkEnd w:id="16"/>
    </w:p>
    <w:p w:rsidR="0047783A" w:rsidRPr="00E82463" w:rsidRDefault="0047783A" w:rsidP="00022662">
      <w:pPr>
        <w:pStyle w:val="Heading2"/>
        <w:keepNext w:val="0"/>
        <w:ind w:left="567" w:hanging="567"/>
        <w:jc w:val="both"/>
        <w:rPr>
          <w:rFonts w:ascii="Times New Roman" w:hAnsi="Times New Roman"/>
        </w:rPr>
      </w:pPr>
      <w:bookmarkStart w:id="17" w:name="_Ref500326737"/>
      <w:r>
        <w:rPr>
          <w:rFonts w:ascii="Times New Roman" w:hAnsi="Times New Roman"/>
          <w:sz w:val="22"/>
        </w:rPr>
        <w:t>10.1</w:t>
      </w:r>
      <w:r>
        <w:tab/>
      </w:r>
      <w:r w:rsidR="00022662" w:rsidRPr="00AA3993">
        <w:rPr>
          <w:rFonts w:ascii="Times New Roman" w:hAnsi="Times New Roman"/>
          <w:color w:val="000000" w:themeColor="text1"/>
          <w:sz w:val="22"/>
        </w:rPr>
        <w:t>Las ofertas deberán ser enviadas al Órgano de Contratación</w:t>
      </w:r>
      <w:r w:rsidRPr="00AA3993">
        <w:rPr>
          <w:rFonts w:ascii="Times New Roman" w:hAnsi="Times New Roman"/>
          <w:color w:val="000000" w:themeColor="text1"/>
          <w:sz w:val="22"/>
        </w:rPr>
        <w:t xml:space="preserve"> </w:t>
      </w:r>
      <w:r w:rsidR="00CD7BFB" w:rsidRPr="00AA3993">
        <w:rPr>
          <w:rFonts w:ascii="Times New Roman" w:hAnsi="Times New Roman"/>
          <w:color w:val="000000" w:themeColor="text1"/>
          <w:sz w:val="22"/>
        </w:rPr>
        <w:t>antes</w:t>
      </w:r>
      <w:r w:rsidR="00CD7BFB">
        <w:rPr>
          <w:rFonts w:ascii="Times New Roman" w:hAnsi="Times New Roman"/>
          <w:sz w:val="22"/>
        </w:rPr>
        <w:t xml:space="preserve"> de que finalice el plazo </w:t>
      </w:r>
      <w:r>
        <w:rPr>
          <w:rFonts w:ascii="Times New Roman" w:hAnsi="Times New Roman"/>
          <w:sz w:val="22"/>
        </w:rPr>
        <w:t xml:space="preserve"> indicada en el punto 10.3. Deben incluir todos los documentos especificados en el punto 11 de estas Instrucciones, y se han de enviar a la dirección siguiente:</w:t>
      </w:r>
    </w:p>
    <w:bookmarkEnd w:id="17"/>
    <w:p w:rsidR="0047783A" w:rsidRPr="00E82463" w:rsidRDefault="0047783A" w:rsidP="00E82463">
      <w:pPr>
        <w:spacing w:before="0"/>
        <w:ind w:left="567"/>
        <w:jc w:val="both"/>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dirección postal completa </w:t>
      </w:r>
      <w:r>
        <w:rPr>
          <w:rFonts w:ascii="Times New Roman" w:hAnsi="Times New Roman"/>
          <w:sz w:val="22"/>
        </w:rPr>
        <w:t>&gt;</w:t>
      </w:r>
    </w:p>
    <w:p w:rsidR="0047783A" w:rsidRPr="00E82463" w:rsidRDefault="0047783A" w:rsidP="0047783A">
      <w:pPr>
        <w:ind w:left="567"/>
        <w:jc w:val="both"/>
        <w:rPr>
          <w:rFonts w:ascii="Times New Roman" w:hAnsi="Times New Roman"/>
          <w:sz w:val="22"/>
        </w:rPr>
      </w:pPr>
      <w:r>
        <w:rPr>
          <w:rFonts w:ascii="Times New Roman" w:hAnsi="Times New Roman"/>
          <w:sz w:val="22"/>
        </w:rPr>
        <w:t>Si las ofertas son entregadas en mano, se entregarán en la siguiente dirección:</w:t>
      </w:r>
    </w:p>
    <w:p w:rsidR="0047783A" w:rsidRPr="00E82463" w:rsidRDefault="0047783A" w:rsidP="00E82463">
      <w:pPr>
        <w:spacing w:before="0"/>
        <w:ind w:left="567"/>
        <w:jc w:val="both"/>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dirección de entrega completa incluyendo el horario de apertura </w:t>
      </w:r>
      <w:r>
        <w:rPr>
          <w:rFonts w:ascii="Times New Roman" w:hAnsi="Times New Roman"/>
          <w:sz w:val="22"/>
        </w:rPr>
        <w:t>&gt;</w:t>
      </w:r>
    </w:p>
    <w:p w:rsidR="0047783A" w:rsidRPr="00E82463" w:rsidRDefault="0047783A" w:rsidP="00AC07D4">
      <w:pPr>
        <w:ind w:left="567"/>
        <w:jc w:val="both"/>
        <w:outlineLvl w:val="0"/>
        <w:rPr>
          <w:rFonts w:ascii="Times New Roman" w:hAnsi="Times New Roman"/>
          <w:sz w:val="22"/>
        </w:rPr>
      </w:pPr>
      <w:r>
        <w:rPr>
          <w:rFonts w:ascii="Times New Roman" w:hAnsi="Times New Roman"/>
          <w:sz w:val="22"/>
        </w:rPr>
        <w:t>Las ofertas se deberán atener a las condiciones siguientes:</w:t>
      </w:r>
    </w:p>
    <w:p w:rsidR="0047783A" w:rsidRPr="00E82463" w:rsidRDefault="0047783A" w:rsidP="0047783A">
      <w:pPr>
        <w:pStyle w:val="Heading2"/>
        <w:ind w:left="567" w:hanging="567"/>
        <w:jc w:val="both"/>
        <w:rPr>
          <w:rFonts w:ascii="Times New Roman" w:hAnsi="Times New Roman"/>
        </w:rPr>
      </w:pPr>
      <w:bookmarkStart w:id="18" w:name="_Ref500330141"/>
      <w:r>
        <w:rPr>
          <w:rFonts w:ascii="Times New Roman" w:hAnsi="Times New Roman"/>
          <w:sz w:val="22"/>
        </w:rPr>
        <w:t>10.2</w:t>
      </w:r>
      <w:r>
        <w:tab/>
      </w:r>
      <w:r>
        <w:rPr>
          <w:rFonts w:ascii="Times New Roman" w:hAnsi="Times New Roman"/>
          <w:sz w:val="22"/>
        </w:rPr>
        <w:t>Las ofertas deberán presentarse en un original único, en el que se indicará la mención «original» y &lt;</w:t>
      </w:r>
      <w:r>
        <w:rPr>
          <w:rFonts w:ascii="Times New Roman" w:hAnsi="Times New Roman"/>
          <w:sz w:val="22"/>
          <w:highlight w:val="yellow"/>
        </w:rPr>
        <w:t>insertar número&gt; (en atención a las cuestiones medioambientales, se deberá solicitar el menor número de copias posible, impresas por las dos caras, carpetas hechas con material degradable, presentación, etc.)</w:t>
      </w:r>
      <w:r>
        <w:rPr>
          <w:rFonts w:ascii="Times New Roman" w:hAnsi="Times New Roman"/>
          <w:sz w:val="22"/>
        </w:rPr>
        <w:t xml:space="preserve"> copias firmadas del mismo modo que el original y con la mención «copia». [</w:t>
      </w:r>
      <w:r>
        <w:rPr>
          <w:rFonts w:ascii="Times New Roman" w:hAnsi="Times New Roman"/>
          <w:sz w:val="22"/>
          <w:highlight w:val="yellow"/>
        </w:rPr>
        <w:t>otras precisiones sobre la presentación de las ofertas</w:t>
      </w:r>
      <w:r>
        <w:rPr>
          <w:rFonts w:ascii="Times New Roman" w:hAnsi="Times New Roman"/>
          <w:sz w:val="22"/>
        </w:rPr>
        <w:t>]</w:t>
      </w:r>
    </w:p>
    <w:bookmarkEnd w:id="18"/>
    <w:p w:rsidR="000C56B2" w:rsidRPr="00A043F5" w:rsidRDefault="0047783A" w:rsidP="000C56B2">
      <w:pPr>
        <w:pStyle w:val="Heading2"/>
        <w:ind w:left="567" w:hanging="567"/>
        <w:jc w:val="both"/>
        <w:rPr>
          <w:rFonts w:ascii="Times New Roman" w:hAnsi="Times New Roman"/>
          <w:sz w:val="22"/>
          <w:szCs w:val="22"/>
        </w:rPr>
      </w:pPr>
      <w:r>
        <w:rPr>
          <w:rFonts w:ascii="Times New Roman" w:hAnsi="Times New Roman"/>
          <w:sz w:val="22"/>
        </w:rPr>
        <w:t>10.3</w:t>
      </w:r>
      <w:r>
        <w:tab/>
      </w:r>
      <w:r>
        <w:rPr>
          <w:rFonts w:ascii="Times New Roman" w:hAnsi="Times New Roman"/>
          <w:sz w:val="22"/>
        </w:rPr>
        <w:t xml:space="preserve">Las </w:t>
      </w:r>
      <w:r w:rsidRPr="00A043F5">
        <w:rPr>
          <w:rFonts w:ascii="Times New Roman" w:hAnsi="Times New Roman"/>
          <w:sz w:val="22"/>
          <w:szCs w:val="22"/>
        </w:rPr>
        <w:t xml:space="preserve">ofertas deben </w:t>
      </w:r>
      <w:r w:rsidR="000C56B2" w:rsidRPr="00A043F5">
        <w:rPr>
          <w:rFonts w:ascii="Times New Roman" w:hAnsi="Times New Roman"/>
          <w:sz w:val="22"/>
          <w:szCs w:val="22"/>
        </w:rPr>
        <w:t>enviarse</w:t>
      </w:r>
      <w:r w:rsidRPr="00A043F5">
        <w:rPr>
          <w:rFonts w:ascii="Times New Roman" w:hAnsi="Times New Roman"/>
          <w:sz w:val="22"/>
          <w:szCs w:val="22"/>
        </w:rPr>
        <w:t xml:space="preserve"> </w:t>
      </w:r>
      <w:r w:rsidR="000C56B2" w:rsidRPr="00A043F5">
        <w:rPr>
          <w:rFonts w:ascii="Times New Roman" w:hAnsi="Times New Roman"/>
          <w:sz w:val="22"/>
          <w:szCs w:val="22"/>
        </w:rPr>
        <w:t>a</w:t>
      </w:r>
      <w:r w:rsidRPr="00A043F5">
        <w:rPr>
          <w:rFonts w:ascii="Times New Roman" w:hAnsi="Times New Roman"/>
          <w:sz w:val="22"/>
          <w:szCs w:val="22"/>
        </w:rPr>
        <w:t xml:space="preserve"> &lt;</w:t>
      </w:r>
      <w:r w:rsidRPr="00A043F5">
        <w:rPr>
          <w:rFonts w:ascii="Times New Roman" w:hAnsi="Times New Roman"/>
          <w:sz w:val="22"/>
          <w:szCs w:val="22"/>
          <w:highlight w:val="yellow"/>
        </w:rPr>
        <w:t>insertar dirección</w:t>
      </w:r>
      <w:r w:rsidRPr="00A043F5">
        <w:rPr>
          <w:rFonts w:ascii="Times New Roman" w:hAnsi="Times New Roman"/>
          <w:sz w:val="22"/>
          <w:szCs w:val="22"/>
        </w:rPr>
        <w:t xml:space="preserve">&gt; </w:t>
      </w:r>
      <w:r w:rsidR="00CD7BFB" w:rsidRPr="00A043F5">
        <w:rPr>
          <w:rFonts w:ascii="Times New Roman" w:hAnsi="Times New Roman"/>
          <w:sz w:val="22"/>
          <w:szCs w:val="22"/>
        </w:rPr>
        <w:t xml:space="preserve">antes de que finalice el plazo </w:t>
      </w:r>
      <w:r w:rsidRPr="00A043F5">
        <w:rPr>
          <w:rFonts w:ascii="Times New Roman" w:hAnsi="Times New Roman"/>
          <w:sz w:val="22"/>
          <w:szCs w:val="22"/>
        </w:rPr>
        <w:t>&lt;</w:t>
      </w:r>
      <w:r w:rsidRPr="00A043F5">
        <w:rPr>
          <w:rFonts w:ascii="Times New Roman" w:hAnsi="Times New Roman"/>
          <w:sz w:val="22"/>
          <w:szCs w:val="22"/>
          <w:highlight w:val="yellow"/>
        </w:rPr>
        <w:t>fecha y hora</w:t>
      </w:r>
      <w:r w:rsidRPr="00A043F5">
        <w:rPr>
          <w:rFonts w:ascii="Times New Roman" w:hAnsi="Times New Roman"/>
          <w:sz w:val="22"/>
          <w:szCs w:val="22"/>
        </w:rPr>
        <w:t xml:space="preserve">&gt;, </w:t>
      </w:r>
    </w:p>
    <w:p w:rsidR="0047783A" w:rsidRPr="00A043F5" w:rsidRDefault="00A043F5" w:rsidP="00A043F5">
      <w:pPr>
        <w:pStyle w:val="Heading2"/>
        <w:numPr>
          <w:ilvl w:val="0"/>
          <w:numId w:val="27"/>
        </w:numPr>
        <w:jc w:val="both"/>
        <w:rPr>
          <w:rFonts w:ascii="Times New Roman" w:hAnsi="Times New Roman"/>
          <w:sz w:val="22"/>
          <w:szCs w:val="22"/>
          <w:lang w:val="es-ES_tradnl"/>
        </w:rPr>
      </w:pPr>
      <w:r w:rsidRPr="00A043F5">
        <w:rPr>
          <w:rFonts w:ascii="Times New Roman" w:hAnsi="Times New Roman"/>
          <w:sz w:val="22"/>
          <w:szCs w:val="22"/>
        </w:rPr>
        <w:t>por correo o por servicio de mensajería, en cuyo caso dará fe de la presentación el matasellos de correos o la fecha del comprobante del depósito</w:t>
      </w:r>
      <w:r w:rsidR="000C56B2" w:rsidRPr="00A043F5">
        <w:rPr>
          <w:rStyle w:val="FootnoteReference"/>
          <w:rFonts w:ascii="Times New Roman" w:hAnsi="Times New Roman"/>
          <w:sz w:val="22"/>
          <w:szCs w:val="22"/>
          <w:lang w:val="en-GB"/>
        </w:rPr>
        <w:footnoteReference w:id="4"/>
      </w:r>
      <w:r w:rsidR="00E9043F">
        <w:rPr>
          <w:rFonts w:ascii="Times New Roman" w:hAnsi="Times New Roman"/>
          <w:sz w:val="22"/>
          <w:szCs w:val="22"/>
        </w:rPr>
        <w:t>;</w:t>
      </w:r>
    </w:p>
    <w:p w:rsidR="000C56B2" w:rsidRPr="00A043F5" w:rsidRDefault="00E9043F" w:rsidP="00A043F5">
      <w:pPr>
        <w:numPr>
          <w:ilvl w:val="0"/>
          <w:numId w:val="27"/>
        </w:numPr>
        <w:jc w:val="both"/>
        <w:rPr>
          <w:rFonts w:ascii="Times New Roman" w:hAnsi="Times New Roman"/>
          <w:sz w:val="22"/>
          <w:szCs w:val="22"/>
          <w:lang w:val="es-ES_tradnl"/>
        </w:rPr>
      </w:pPr>
      <w:r>
        <w:rPr>
          <w:rFonts w:ascii="Times New Roman" w:hAnsi="Times New Roman"/>
          <w:sz w:val="22"/>
        </w:rPr>
        <w:t>bien mediante entrega en mano en los locales del Órgano de Contratación personalmente por el licitador o candidato o por un agente, en cuyo caso dará fe de la presentación el acuse de recibo</w:t>
      </w:r>
      <w:r w:rsidR="000C56B2" w:rsidRPr="00A043F5">
        <w:rPr>
          <w:rFonts w:ascii="Times New Roman" w:hAnsi="Times New Roman"/>
          <w:sz w:val="22"/>
          <w:szCs w:val="22"/>
          <w:lang w:val="es-ES_tradnl"/>
        </w:rPr>
        <w:t>.</w:t>
      </w:r>
    </w:p>
    <w:p w:rsidR="000C56B2" w:rsidRPr="00A043F5" w:rsidRDefault="00A043F5" w:rsidP="00A043F5">
      <w:pPr>
        <w:ind w:left="567"/>
        <w:jc w:val="both"/>
        <w:rPr>
          <w:rFonts w:ascii="Times New Roman" w:hAnsi="Times New Roman"/>
          <w:sz w:val="22"/>
          <w:szCs w:val="22"/>
          <w:lang w:val="es-ES_tradnl"/>
        </w:rPr>
      </w:pPr>
      <w:r w:rsidRPr="00A043F5">
        <w:rPr>
          <w:rFonts w:ascii="Times New Roman" w:hAnsi="Times New Roman"/>
          <w:sz w:val="22"/>
          <w:szCs w:val="22"/>
        </w:rPr>
        <w:t>Por motivos de eficacia administrativa, el Órgano de Contratación podrá rechazar cualquier solicitud u oferta presentada a tiempo al servicio postal pero recibida, por cualquier motivo que quede fuera del control del Órgano de Contratación, después de la fecha efectiva de aprobación del informe de preselección o del informe de evaluación, en caso de que la aceptación de solicitudes u ofertas presentadas a tiempo, pero que hayan llegado tarde retrase considerablemente el procedimiento de evaluación u obstaculice las decisiones ya adoptadas y notificadas</w:t>
      </w:r>
      <w:r w:rsidR="000C56B2" w:rsidRPr="00A043F5">
        <w:rPr>
          <w:rFonts w:ascii="Times New Roman" w:hAnsi="Times New Roman"/>
          <w:sz w:val="22"/>
          <w:szCs w:val="22"/>
          <w:lang w:val="es-ES_tradnl"/>
        </w:rPr>
        <w:t>.</w:t>
      </w:r>
    </w:p>
    <w:p w:rsidR="0047783A" w:rsidRPr="00E82463" w:rsidRDefault="0047783A" w:rsidP="0047783A">
      <w:pPr>
        <w:pStyle w:val="Heading2"/>
        <w:ind w:left="567" w:hanging="567"/>
        <w:rPr>
          <w:rFonts w:ascii="Times New Roman" w:hAnsi="Times New Roman"/>
          <w:sz w:val="22"/>
        </w:rPr>
      </w:pPr>
      <w:r w:rsidRPr="00A043F5">
        <w:rPr>
          <w:rFonts w:ascii="Times New Roman" w:hAnsi="Times New Roman"/>
          <w:sz w:val="22"/>
          <w:szCs w:val="22"/>
        </w:rPr>
        <w:t>10.4</w:t>
      </w:r>
      <w:r w:rsidRPr="00A043F5">
        <w:rPr>
          <w:rFonts w:ascii="Times New Roman" w:hAnsi="Times New Roman"/>
          <w:sz w:val="22"/>
          <w:szCs w:val="22"/>
        </w:rPr>
        <w:tab/>
        <w:t>Las ofertas, incluidos sus anexos y los justificantes, deben presentarse en un sobre precintado en el que figure ex</w:t>
      </w:r>
      <w:r>
        <w:rPr>
          <w:rFonts w:ascii="Times New Roman" w:hAnsi="Times New Roman"/>
          <w:sz w:val="22"/>
        </w:rPr>
        <w:t>clusivamente:</w:t>
      </w:r>
    </w:p>
    <w:p w:rsidR="0047783A" w:rsidRPr="00E82463" w:rsidRDefault="0047783A" w:rsidP="0047783A">
      <w:pPr>
        <w:tabs>
          <w:tab w:val="left" w:pos="709"/>
          <w:tab w:val="left" w:pos="1134"/>
        </w:tabs>
        <w:ind w:left="567"/>
        <w:rPr>
          <w:rFonts w:ascii="Times New Roman" w:hAnsi="Times New Roman"/>
          <w:sz w:val="22"/>
        </w:rPr>
      </w:pPr>
      <w:r>
        <w:rPr>
          <w:rFonts w:ascii="Times New Roman" w:hAnsi="Times New Roman"/>
          <w:sz w:val="22"/>
        </w:rPr>
        <w:t>a)</w:t>
      </w:r>
      <w:r>
        <w:tab/>
      </w:r>
      <w:r>
        <w:rPr>
          <w:rFonts w:ascii="Times New Roman" w:hAnsi="Times New Roman"/>
          <w:sz w:val="22"/>
        </w:rPr>
        <w:t>la dirección antes citada;</w:t>
      </w:r>
    </w:p>
    <w:p w:rsidR="0047783A" w:rsidRPr="00E82463" w:rsidRDefault="0047783A" w:rsidP="004133E9">
      <w:pPr>
        <w:tabs>
          <w:tab w:val="left" w:pos="1134"/>
        </w:tabs>
        <w:ind w:left="1134" w:hanging="567"/>
        <w:rPr>
          <w:rFonts w:ascii="Times New Roman" w:hAnsi="Times New Roman"/>
          <w:sz w:val="22"/>
        </w:rPr>
      </w:pPr>
      <w:r>
        <w:rPr>
          <w:rFonts w:ascii="Times New Roman" w:hAnsi="Times New Roman"/>
          <w:sz w:val="22"/>
        </w:rPr>
        <w:t>b)</w:t>
      </w:r>
      <w:r>
        <w:tab/>
      </w:r>
      <w:r>
        <w:rPr>
          <w:rFonts w:ascii="Times New Roman" w:hAnsi="Times New Roman"/>
          <w:sz w:val="22"/>
        </w:rPr>
        <w:t>el código de referencia de la presente licitación (es decir, &lt;</w:t>
      </w:r>
      <w:r>
        <w:rPr>
          <w:rFonts w:ascii="Times New Roman" w:hAnsi="Times New Roman"/>
          <w:sz w:val="22"/>
          <w:highlight w:val="yellow"/>
        </w:rPr>
        <w:t>referencia de publicación</w:t>
      </w:r>
      <w:r>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Pr>
          <w:rFonts w:ascii="Times New Roman" w:hAnsi="Times New Roman"/>
          <w:sz w:val="22"/>
        </w:rPr>
        <w:t>c)</w:t>
      </w:r>
      <w:r>
        <w:tab/>
      </w:r>
      <w:r>
        <w:rPr>
          <w:rFonts w:ascii="Times New Roman" w:hAnsi="Times New Roman"/>
          <w:sz w:val="22"/>
        </w:rPr>
        <w:t>si procede, el número del lote o lotes para el/los que se presenta una oferta;</w:t>
      </w:r>
    </w:p>
    <w:p w:rsidR="0047783A" w:rsidRPr="00E82463" w:rsidRDefault="0047783A" w:rsidP="0047783A">
      <w:pPr>
        <w:tabs>
          <w:tab w:val="left" w:pos="1134"/>
        </w:tabs>
        <w:ind w:left="1134" w:hanging="567"/>
        <w:rPr>
          <w:rFonts w:ascii="Times New Roman" w:hAnsi="Times New Roman"/>
          <w:sz w:val="22"/>
        </w:rPr>
      </w:pPr>
      <w:r>
        <w:rPr>
          <w:rFonts w:ascii="Times New Roman" w:hAnsi="Times New Roman"/>
          <w:sz w:val="22"/>
        </w:rPr>
        <w:t>d)</w:t>
      </w:r>
      <w:r>
        <w:tab/>
      </w:r>
      <w:r>
        <w:rPr>
          <w:rFonts w:ascii="Times New Roman" w:hAnsi="Times New Roman"/>
          <w:sz w:val="22"/>
        </w:rPr>
        <w:t>la mención «No abrir antes de la sesión de apertura de plicas», escrita en la lengua del expediente de licitación y &lt;</w:t>
      </w:r>
      <w:r>
        <w:rPr>
          <w:rFonts w:ascii="Times New Roman" w:hAnsi="Times New Roman"/>
          <w:sz w:val="22"/>
          <w:highlight w:val="yellow"/>
        </w:rPr>
        <w:t>expresión equivalente en la lengua del país</w:t>
      </w:r>
      <w:r>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Pr>
          <w:rFonts w:ascii="Times New Roman" w:hAnsi="Times New Roman"/>
          <w:sz w:val="22"/>
        </w:rPr>
        <w:t>e)</w:t>
      </w:r>
      <w:r>
        <w:tab/>
      </w:r>
      <w:r>
        <w:rPr>
          <w:rFonts w:ascii="Times New Roman" w:hAnsi="Times New Roman"/>
          <w:sz w:val="22"/>
        </w:rPr>
        <w:t>el nombre del licitador.</w:t>
      </w:r>
    </w:p>
    <w:p w:rsidR="0047783A" w:rsidRPr="00E82463" w:rsidRDefault="0047783A" w:rsidP="0047783A">
      <w:pPr>
        <w:ind w:left="567"/>
        <w:jc w:val="both"/>
        <w:outlineLvl w:val="0"/>
        <w:rPr>
          <w:rFonts w:ascii="Times New Roman" w:hAnsi="Times New Roman"/>
        </w:rPr>
      </w:pPr>
      <w:r>
        <w:rPr>
          <w:rFonts w:ascii="Times New Roman" w:hAnsi="Times New Roman"/>
          <w:sz w:val="22"/>
        </w:rPr>
        <w:t>Las ofertas técnica y financiera deberán incluirse en un único sobre precintado. A continuación, los sobres deben introducirse en un único sobre o paquete precintado, salvo que, por su volumen, sea necesario presentar cada lote por separado.</w:t>
      </w:r>
    </w:p>
    <w:p w:rsidR="0047783A" w:rsidRPr="00E82463" w:rsidRDefault="0047783A" w:rsidP="00710F13">
      <w:pPr>
        <w:pStyle w:val="Heading1"/>
      </w:pPr>
      <w:bookmarkStart w:id="19" w:name="_Toc42488080"/>
      <w:r>
        <w:t>Contenido de las ofertas</w:t>
      </w:r>
      <w:bookmarkEnd w:id="19"/>
    </w:p>
    <w:p w:rsidR="0047783A" w:rsidRPr="00E82463" w:rsidRDefault="006D4CEC" w:rsidP="0047783A">
      <w:pPr>
        <w:spacing w:after="0"/>
        <w:ind w:left="567"/>
        <w:jc w:val="both"/>
        <w:outlineLvl w:val="0"/>
        <w:rPr>
          <w:rFonts w:ascii="Times New Roman" w:hAnsi="Times New Roman"/>
          <w:sz w:val="22"/>
          <w:szCs w:val="22"/>
        </w:rPr>
      </w:pPr>
      <w:r>
        <w:rPr>
          <w:rFonts w:ascii="Times New Roman" w:hAnsi="Times New Roman"/>
          <w:sz w:val="22"/>
        </w:rPr>
        <w:t>El incumplimiento de los siguientes requisitos constituirá una irregularidad y podrá dar lugar a la desestimación de la oferta. Las ofertas presentadas deben cumplir los requisitos establecidos en el expediente de licitación e incluir en particular:</w:t>
      </w:r>
    </w:p>
    <w:p w:rsidR="0047783A" w:rsidRPr="00E82463" w:rsidRDefault="0047783A" w:rsidP="0047783A">
      <w:pPr>
        <w:ind w:left="567"/>
        <w:jc w:val="both"/>
        <w:outlineLvl w:val="0"/>
        <w:rPr>
          <w:rFonts w:ascii="Times New Roman" w:hAnsi="Times New Roman"/>
          <w:b/>
          <w:sz w:val="22"/>
          <w:szCs w:val="22"/>
        </w:rPr>
      </w:pPr>
      <w:r>
        <w:rPr>
          <w:rFonts w:ascii="Times New Roman" w:hAnsi="Times New Roman"/>
          <w:b/>
          <w:sz w:val="22"/>
        </w:rPr>
        <w:t>Parte 1: Oferta técnica:</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rPr>
      </w:pPr>
      <w:r>
        <w:rPr>
          <w:rFonts w:ascii="Times New Roman" w:hAnsi="Times New Roman"/>
          <w:sz w:val="22"/>
        </w:rPr>
        <w:t>una descripción detallada de los suministros objeto de la licitación de conformidad con los requisitos técnicos, incluida toda documentación exigida, que incluya si procede;</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highlight w:val="lightGray"/>
        </w:rPr>
        <w:t>[una lista de las piezas de repuesto y bienes fungibles recomendados por el fabricante]</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una propuesta para la prestación de servicios posventa durante &lt;</w:t>
      </w:r>
      <w:r>
        <w:rPr>
          <w:rFonts w:ascii="Times New Roman" w:hAnsi="Times New Roman"/>
          <w:sz w:val="22"/>
          <w:highlight w:val="yellow"/>
        </w:rPr>
        <w:t>insertar número</w:t>
      </w:r>
      <w:r>
        <w:rPr>
          <w:rFonts w:ascii="Times New Roman" w:hAnsi="Times New Roman"/>
          <w:sz w:val="22"/>
          <w:highlight w:val="lightGray"/>
        </w:rPr>
        <w:t>&gt; año[s</w:t>
      </w:r>
      <w:r>
        <w:rPr>
          <w:rFonts w:ascii="Times New Roman" w:hAnsi="Times New Roman"/>
          <w:sz w:val="22"/>
        </w:rPr>
        <w:t>]];</w:t>
      </w:r>
    </w:p>
    <w:p w:rsidR="00555BFC" w:rsidRPr="00E82463" w:rsidRDefault="0047783A" w:rsidP="00637D16">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una propuesta de formación (indíquese la formación que se necesita)</w:t>
      </w:r>
      <w:r>
        <w:rPr>
          <w:rFonts w:ascii="Times New Roman" w:hAnsi="Times New Roman"/>
          <w:sz w:val="22"/>
        </w:rPr>
        <w:t>];</w:t>
      </w:r>
      <w:r>
        <w:rPr>
          <w:rFonts w:ascii="Times New Roman" w:hAnsi="Times New Roman"/>
          <w:sz w:val="22"/>
          <w:highlight w:val="yellow"/>
        </w:rPr>
        <w:t xml:space="preserve"> </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propuestas técnicas relacionadas con servicios complementarios</w:t>
      </w:r>
      <w:r>
        <w:rPr>
          <w:rFonts w:ascii="Times New Roman" w:hAnsi="Times New Roman"/>
          <w:sz w:val="22"/>
        </w:rPr>
        <w:t>].</w:t>
      </w:r>
    </w:p>
    <w:p w:rsidR="0047783A" w:rsidRPr="00E82463" w:rsidRDefault="0047783A" w:rsidP="0047783A">
      <w:pPr>
        <w:ind w:left="567"/>
        <w:rPr>
          <w:rFonts w:ascii="Times New Roman" w:hAnsi="Times New Roman"/>
          <w:sz w:val="22"/>
          <w:szCs w:val="22"/>
        </w:rPr>
      </w:pPr>
      <w:r>
        <w:rPr>
          <w:rFonts w:ascii="Times New Roman" w:hAnsi="Times New Roman"/>
          <w:sz w:val="22"/>
        </w:rPr>
        <w:t>La oferta técnica debe presentarse según el modelo (anexo II + III*, oferta técnica del contratista) añadiendo cuando proceda hojas separadas para los detalles.</w:t>
      </w:r>
    </w:p>
    <w:p w:rsidR="0047783A" w:rsidRPr="00E82463" w:rsidRDefault="0047783A" w:rsidP="0047783A">
      <w:pPr>
        <w:ind w:left="567"/>
        <w:jc w:val="both"/>
        <w:outlineLvl w:val="0"/>
        <w:rPr>
          <w:rFonts w:ascii="Times New Roman" w:hAnsi="Times New Roman"/>
          <w:b/>
          <w:sz w:val="22"/>
          <w:szCs w:val="22"/>
        </w:rPr>
      </w:pPr>
      <w:r>
        <w:rPr>
          <w:rFonts w:ascii="Times New Roman" w:hAnsi="Times New Roman"/>
          <w:b/>
          <w:sz w:val="22"/>
        </w:rPr>
        <w:t>Parte 2: Oferta financiera:</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rPr>
      </w:pPr>
      <w:r>
        <w:rPr>
          <w:rFonts w:ascii="Times New Roman" w:hAnsi="Times New Roman"/>
          <w:sz w:val="22"/>
        </w:rPr>
        <w:t>Una oferta financiera calculada en condiciones [</w:t>
      </w:r>
      <w:r>
        <w:rPr>
          <w:rFonts w:ascii="Times New Roman" w:hAnsi="Times New Roman"/>
          <w:sz w:val="22"/>
          <w:highlight w:val="lightGray"/>
        </w:rPr>
        <w:t>DDP</w:t>
      </w:r>
      <w:r>
        <w:rPr>
          <w:rFonts w:ascii="Times New Roman" w:hAnsi="Times New Roman"/>
          <w:sz w:val="22"/>
        </w:rPr>
        <w:t>] [</w:t>
      </w:r>
      <w:r>
        <w:rPr>
          <w:rFonts w:ascii="Times New Roman" w:hAnsi="Times New Roman"/>
          <w:sz w:val="22"/>
          <w:highlight w:val="lightGray"/>
        </w:rPr>
        <w:t>DAP</w:t>
      </w:r>
      <w:r>
        <w:rPr>
          <w:rFonts w:ascii="Times New Roman" w:hAnsi="Times New Roman"/>
          <w:sz w:val="22"/>
        </w:rPr>
        <w:t>]</w:t>
      </w:r>
      <w:r>
        <w:rPr>
          <w:rStyle w:val="FootnoteReference"/>
          <w:rFonts w:ascii="Times New Roman" w:hAnsi="Times New Roman"/>
        </w:rPr>
        <w:footnoteReference w:id="5"/>
      </w:r>
      <w:r>
        <w:rPr>
          <w:rFonts w:ascii="Times New Roman" w:hAnsi="Times New Roman"/>
          <w:sz w:val="22"/>
        </w:rPr>
        <w:t xml:space="preserve"> para los suministros ofrecidos, que incluya si procede:</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la propuesta financiera relativa a las piezas de repuesto y bienes fungibles que se utilizarán durante &lt;</w:t>
      </w:r>
      <w:r>
        <w:rPr>
          <w:rFonts w:ascii="Times New Roman" w:hAnsi="Times New Roman"/>
          <w:sz w:val="22"/>
          <w:highlight w:val="yellow"/>
        </w:rPr>
        <w:t>insertar número</w:t>
      </w:r>
      <w:r>
        <w:rPr>
          <w:rFonts w:ascii="Times New Roman" w:hAnsi="Times New Roman"/>
          <w:sz w:val="22"/>
          <w:highlight w:val="lightGray"/>
        </w:rPr>
        <w:t>&gt; año[s</w:t>
      </w:r>
      <w:r>
        <w:rPr>
          <w:rFonts w:ascii="Times New Roman" w:hAnsi="Times New Roman"/>
          <w:sz w:val="22"/>
        </w:rPr>
        <w:t xml:space="preserve">]] </w:t>
      </w:r>
      <w:r>
        <w:rPr>
          <w:rFonts w:ascii="Times New Roman" w:hAnsi="Times New Roman"/>
          <w:sz w:val="22"/>
          <w:highlight w:val="lightGray"/>
        </w:rPr>
        <w:t>[con lista de precios unitarios];</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la propuesta financiera para los servicios de posventa</w:t>
      </w:r>
      <w:r>
        <w:rPr>
          <w:rFonts w:ascii="Times New Roman" w:hAnsi="Times New Roman"/>
          <w:sz w:val="22"/>
        </w:rPr>
        <w:t xml:space="preserve"> durante &lt;</w:t>
      </w:r>
      <w:r>
        <w:rPr>
          <w:rFonts w:ascii="Times New Roman" w:hAnsi="Times New Roman"/>
          <w:sz w:val="22"/>
          <w:highlight w:val="yellow"/>
          <w:shd w:val="clear" w:color="auto" w:fill="C0C0C0"/>
        </w:rPr>
        <w:t>insertar número</w:t>
      </w:r>
      <w:r>
        <w:rPr>
          <w:rFonts w:ascii="Times New Roman" w:hAnsi="Times New Roman"/>
          <w:sz w:val="22"/>
        </w:rPr>
        <w:t>&gt; año[s]];</w:t>
      </w:r>
    </w:p>
    <w:p w:rsidR="0047783A"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highlight w:val="lightGray"/>
        </w:rPr>
        <w:t>[una propuesta financiera de formación</w:t>
      </w:r>
      <w:r>
        <w:rPr>
          <w:rFonts w:ascii="Times New Roman" w:hAnsi="Times New Roman"/>
          <w:sz w:val="22"/>
        </w:rPr>
        <w:t>];</w:t>
      </w:r>
    </w:p>
    <w:p w:rsidR="00235BB9" w:rsidRPr="000C56B2" w:rsidRDefault="00235BB9" w:rsidP="0047783A">
      <w:pPr>
        <w:numPr>
          <w:ilvl w:val="1"/>
          <w:numId w:val="10"/>
        </w:numPr>
        <w:spacing w:after="0"/>
        <w:ind w:hanging="306"/>
        <w:rPr>
          <w:rFonts w:ascii="Times New Roman" w:hAnsi="Times New Roman"/>
          <w:sz w:val="22"/>
          <w:szCs w:val="22"/>
        </w:rPr>
      </w:pPr>
      <w:r>
        <w:rPr>
          <w:rFonts w:ascii="Times New Roman" w:hAnsi="Times New Roman"/>
          <w:sz w:val="22"/>
        </w:rPr>
        <w:t xml:space="preserve"> </w:t>
      </w:r>
      <w:r>
        <w:rPr>
          <w:rFonts w:ascii="Times New Roman" w:hAnsi="Times New Roman"/>
          <w:sz w:val="22"/>
          <w:highlight w:val="lightGray"/>
        </w:rPr>
        <w:t>[una propuesta financiera relacionada con los servicios complementarios</w:t>
      </w:r>
      <w:r>
        <w:rPr>
          <w:rFonts w:ascii="Times New Roman" w:hAnsi="Times New Roman"/>
          <w:sz w:val="22"/>
        </w:rPr>
        <w:t>];</w:t>
      </w:r>
    </w:p>
    <w:p w:rsidR="000C56B2" w:rsidRPr="004133E9" w:rsidRDefault="000C56B2" w:rsidP="004133E9">
      <w:pPr>
        <w:numPr>
          <w:ilvl w:val="1"/>
          <w:numId w:val="10"/>
        </w:numPr>
        <w:spacing w:after="0"/>
        <w:rPr>
          <w:rFonts w:ascii="Times New Roman" w:hAnsi="Times New Roman"/>
          <w:sz w:val="22"/>
          <w:szCs w:val="22"/>
          <w:lang w:val="es-ES_tradnl"/>
        </w:rPr>
      </w:pPr>
      <w:r w:rsidRPr="004133E9">
        <w:rPr>
          <w:rFonts w:ascii="Times New Roman" w:hAnsi="Times New Roman"/>
          <w:sz w:val="22"/>
          <w:lang w:val="es-ES_tradnl"/>
        </w:rPr>
        <w:t xml:space="preserve"> </w:t>
      </w:r>
      <w:r w:rsidRPr="00E9043F">
        <w:rPr>
          <w:rFonts w:ascii="Times New Roman" w:hAnsi="Times New Roman"/>
          <w:sz w:val="22"/>
          <w:highlight w:val="lightGray"/>
          <w:lang w:val="es-ES_tradnl"/>
        </w:rPr>
        <w:t>[</w:t>
      </w:r>
      <w:r w:rsidR="00E9043F">
        <w:rPr>
          <w:rFonts w:ascii="Times New Roman" w:hAnsi="Times New Roman"/>
          <w:sz w:val="22"/>
          <w:highlight w:val="lightGray"/>
          <w:lang w:val="es-ES_tradnl"/>
        </w:rPr>
        <w:t xml:space="preserve">una </w:t>
      </w:r>
      <w:r w:rsidR="004133E9" w:rsidRPr="00E9043F">
        <w:rPr>
          <w:rFonts w:ascii="Times New Roman" w:hAnsi="Times New Roman"/>
          <w:sz w:val="22"/>
          <w:highlight w:val="lightGray"/>
          <w:lang w:val="es-ES_tradnl"/>
        </w:rPr>
        <w:t xml:space="preserve">propuesta financiera para cualquier otro importe no directamente relacionado con el valor intrínseco del producto de que se trate (tales como, entre otras cosas, </w:t>
      </w:r>
      <w:r w:rsidR="00E9043F">
        <w:rPr>
          <w:rFonts w:ascii="Times New Roman" w:hAnsi="Times New Roman"/>
          <w:sz w:val="22"/>
          <w:highlight w:val="lightGray"/>
          <w:lang w:val="es-ES_tradnl"/>
        </w:rPr>
        <w:t xml:space="preserve">tasas y derechos </w:t>
      </w:r>
      <w:r w:rsidR="004133E9" w:rsidRPr="00E9043F">
        <w:rPr>
          <w:rFonts w:ascii="Times New Roman" w:hAnsi="Times New Roman"/>
          <w:sz w:val="22"/>
          <w:highlight w:val="lightGray"/>
          <w:lang w:val="es-ES_tradnl"/>
        </w:rPr>
        <w:t xml:space="preserve">de importación, </w:t>
      </w:r>
      <w:r w:rsidR="00E9043F">
        <w:rPr>
          <w:rFonts w:ascii="Times New Roman" w:hAnsi="Times New Roman"/>
          <w:sz w:val="22"/>
          <w:highlight w:val="lightGray"/>
          <w:lang w:val="es-ES_tradnl"/>
        </w:rPr>
        <w:t xml:space="preserve">gastos de </w:t>
      </w:r>
      <w:r w:rsidR="004133E9" w:rsidRPr="00E9043F">
        <w:rPr>
          <w:rFonts w:ascii="Times New Roman" w:hAnsi="Times New Roman"/>
          <w:sz w:val="22"/>
          <w:highlight w:val="lightGray"/>
          <w:lang w:val="es-ES_tradnl"/>
        </w:rPr>
        <w:t xml:space="preserve">despacho de aduana </w:t>
      </w:r>
      <w:r w:rsidR="00E9043F">
        <w:rPr>
          <w:rFonts w:ascii="Times New Roman" w:hAnsi="Times New Roman"/>
          <w:sz w:val="22"/>
          <w:highlight w:val="lightGray"/>
          <w:lang w:val="es-ES_tradnl"/>
        </w:rPr>
        <w:t>por</w:t>
      </w:r>
      <w:r w:rsidR="004133E9" w:rsidRPr="00E9043F">
        <w:rPr>
          <w:rFonts w:ascii="Times New Roman" w:hAnsi="Times New Roman"/>
          <w:sz w:val="22"/>
          <w:highlight w:val="lightGray"/>
          <w:lang w:val="es-ES_tradnl"/>
        </w:rPr>
        <w:t xml:space="preserve"> importación o </w:t>
      </w:r>
      <w:r w:rsidR="00E9043F">
        <w:rPr>
          <w:rFonts w:ascii="Times New Roman" w:hAnsi="Times New Roman"/>
          <w:sz w:val="22"/>
          <w:highlight w:val="lightGray"/>
          <w:lang w:val="es-ES_tradnl"/>
        </w:rPr>
        <w:t>gastos</w:t>
      </w:r>
      <w:r w:rsidR="004133E9" w:rsidRPr="00E9043F">
        <w:rPr>
          <w:rFonts w:ascii="Times New Roman" w:hAnsi="Times New Roman"/>
          <w:sz w:val="22"/>
          <w:highlight w:val="lightGray"/>
          <w:lang w:val="es-ES_tradnl"/>
        </w:rPr>
        <w:t xml:space="preserve"> de transporte</w:t>
      </w:r>
      <w:r w:rsidRPr="00E9043F">
        <w:rPr>
          <w:rFonts w:ascii="Times New Roman" w:hAnsi="Times New Roman"/>
          <w:sz w:val="22"/>
          <w:highlight w:val="lightGray"/>
          <w:lang w:val="es-ES_tradnl"/>
        </w:rPr>
        <w:t>)].</w:t>
      </w:r>
    </w:p>
    <w:p w:rsidR="0047783A" w:rsidRPr="00E82463" w:rsidRDefault="0047783A" w:rsidP="0047783A">
      <w:pPr>
        <w:spacing w:after="0"/>
        <w:ind w:left="567"/>
        <w:rPr>
          <w:rFonts w:ascii="Times New Roman" w:hAnsi="Times New Roman"/>
          <w:sz w:val="22"/>
          <w:szCs w:val="22"/>
        </w:rPr>
      </w:pPr>
      <w:r w:rsidRPr="004133E9">
        <w:rPr>
          <w:rFonts w:ascii="Times New Roman" w:hAnsi="Times New Roman"/>
          <w:sz w:val="22"/>
        </w:rPr>
        <w:t>La oferta financiera debe presentarse según</w:t>
      </w:r>
      <w:r>
        <w:rPr>
          <w:rFonts w:ascii="Times New Roman" w:hAnsi="Times New Roman"/>
          <w:sz w:val="22"/>
        </w:rPr>
        <w:t xml:space="preserve"> el modelo (anexo IV*, desglose presupuestario) añadiendo cuando proceda hojas separadas para los detalles.</w:t>
      </w:r>
    </w:p>
    <w:p w:rsidR="0047783A" w:rsidRPr="00E82463" w:rsidRDefault="0047783A" w:rsidP="0047783A">
      <w:pPr>
        <w:numPr>
          <w:ilvl w:val="0"/>
          <w:numId w:val="6"/>
        </w:numPr>
        <w:ind w:left="1208" w:hanging="641"/>
        <w:rPr>
          <w:rFonts w:ascii="Times New Roman" w:hAnsi="Times New Roman"/>
          <w:sz w:val="22"/>
          <w:szCs w:val="22"/>
        </w:rPr>
      </w:pPr>
      <w:r>
        <w:rPr>
          <w:rFonts w:ascii="Times New Roman" w:hAnsi="Times New Roman"/>
          <w:sz w:val="22"/>
        </w:rPr>
        <w:t>[</w:t>
      </w:r>
      <w:r>
        <w:rPr>
          <w:rFonts w:ascii="Times New Roman" w:hAnsi="Times New Roman"/>
          <w:sz w:val="22"/>
          <w:highlight w:val="lightGray"/>
        </w:rPr>
        <w:t>Una versión electrónica de la oferta financiera</w:t>
      </w:r>
      <w:r>
        <w:rPr>
          <w:rFonts w:ascii="Times New Roman" w:hAnsi="Times New Roman"/>
          <w:sz w:val="22"/>
        </w:rPr>
        <w:t xml:space="preserve"> ].</w:t>
      </w:r>
    </w:p>
    <w:p w:rsidR="0047783A" w:rsidRPr="00E82463" w:rsidRDefault="0047783A" w:rsidP="0047783A">
      <w:pPr>
        <w:spacing w:after="0"/>
        <w:ind w:left="567"/>
        <w:rPr>
          <w:rFonts w:ascii="Times New Roman" w:hAnsi="Times New Roman"/>
          <w:b/>
          <w:sz w:val="22"/>
          <w:szCs w:val="22"/>
        </w:rPr>
      </w:pPr>
      <w:r>
        <w:rPr>
          <w:rFonts w:ascii="Times New Roman" w:hAnsi="Times New Roman"/>
          <w:b/>
          <w:sz w:val="22"/>
        </w:rPr>
        <w:t>Parte 3: Documentación:</w:t>
      </w:r>
    </w:p>
    <w:p w:rsidR="0047783A" w:rsidRPr="00E82463" w:rsidRDefault="0047783A" w:rsidP="0047783A">
      <w:pPr>
        <w:tabs>
          <w:tab w:val="left" w:pos="993"/>
        </w:tabs>
        <w:spacing w:after="0"/>
        <w:ind w:left="567"/>
        <w:rPr>
          <w:rFonts w:ascii="Times New Roman" w:hAnsi="Times New Roman"/>
          <w:sz w:val="22"/>
          <w:szCs w:val="22"/>
        </w:rPr>
      </w:pPr>
      <w:r>
        <w:rPr>
          <w:rFonts w:ascii="Times New Roman" w:hAnsi="Times New Roman"/>
          <w:sz w:val="22"/>
        </w:rPr>
        <w:t>Deberá presentarse utilizando los modelos adjuntos*:</w:t>
      </w:r>
    </w:p>
    <w:p w:rsidR="0047783A" w:rsidRPr="00E82463" w:rsidRDefault="006D4CEC" w:rsidP="00AC07D4">
      <w:pPr>
        <w:numPr>
          <w:ilvl w:val="0"/>
          <w:numId w:val="6"/>
        </w:numPr>
        <w:tabs>
          <w:tab w:val="clear" w:pos="1211"/>
          <w:tab w:val="num" w:pos="1134"/>
        </w:tabs>
        <w:spacing w:after="0"/>
        <w:ind w:left="1134" w:hanging="567"/>
        <w:jc w:val="both"/>
        <w:rPr>
          <w:rFonts w:ascii="Times New Roman" w:hAnsi="Times New Roman"/>
          <w:sz w:val="22"/>
          <w:szCs w:val="22"/>
        </w:rPr>
      </w:pPr>
      <w:r>
        <w:rPr>
          <w:rFonts w:ascii="Times New Roman" w:hAnsi="Times New Roman"/>
          <w:sz w:val="22"/>
          <w:highlight w:val="yellow"/>
        </w:rPr>
        <w:t>[previa solicitud:</w:t>
      </w:r>
      <w:r>
        <w:rPr>
          <w:rFonts w:ascii="Times New Roman" w:hAnsi="Times New Roman"/>
          <w:sz w:val="22"/>
        </w:rPr>
        <w:t xml:space="preserve"> </w:t>
      </w:r>
      <w:r>
        <w:rPr>
          <w:rFonts w:ascii="Times New Roman" w:hAnsi="Times New Roman"/>
          <w:sz w:val="22"/>
          <w:highlight w:val="lightGray"/>
        </w:rPr>
        <w:t>La garantía de licitación</w:t>
      </w:r>
      <w:r w:rsidR="005F6B3B">
        <w:rPr>
          <w:rFonts w:ascii="Times New Roman" w:hAnsi="Times New Roman"/>
          <w:sz w:val="22"/>
          <w:highlight w:val="lightGray"/>
        </w:rPr>
        <w:t xml:space="preserve"> </w:t>
      </w:r>
      <w:r w:rsidR="005F6B3B" w:rsidRPr="004133E9">
        <w:rPr>
          <w:rFonts w:ascii="Times New Roman" w:hAnsi="Times New Roman"/>
          <w:sz w:val="22"/>
          <w:highlight w:val="lightGray"/>
        </w:rPr>
        <w:t>original y firmada</w:t>
      </w:r>
      <w:r>
        <w:rPr>
          <w:rFonts w:ascii="Times New Roman" w:hAnsi="Times New Roman"/>
          <w:sz w:val="22"/>
          <w:highlight w:val="lightGray"/>
        </w:rPr>
        <w:t>, por</w:t>
      </w:r>
      <w:r>
        <w:rPr>
          <w:rFonts w:ascii="Times New Roman" w:hAnsi="Times New Roman"/>
          <w:sz w:val="22"/>
        </w:rPr>
        <w:t xml:space="preserve"> &lt;</w:t>
      </w:r>
      <w:r>
        <w:rPr>
          <w:rFonts w:ascii="Times New Roman" w:hAnsi="Times New Roman"/>
          <w:sz w:val="22"/>
          <w:highlight w:val="yellow"/>
        </w:rPr>
        <w:t>especifíquese el importe fijado tal y como se indica en</w:t>
      </w:r>
      <w:r w:rsidR="00D300EE">
        <w:rPr>
          <w:rFonts w:ascii="Times New Roman" w:hAnsi="Times New Roman"/>
          <w:sz w:val="22"/>
          <w:highlight w:val="yellow"/>
        </w:rPr>
        <w:t xml:space="preserve"> la </w:t>
      </w:r>
      <w:r w:rsidR="00D300EE" w:rsidRPr="00D300EE">
        <w:rPr>
          <w:rFonts w:ascii="Times New Roman" w:hAnsi="Times New Roman"/>
          <w:sz w:val="22"/>
          <w:highlight w:val="yellow"/>
        </w:rPr>
        <w:t>información adicional sobre el</w:t>
      </w:r>
      <w:r>
        <w:rPr>
          <w:rFonts w:ascii="Times New Roman" w:hAnsi="Times New Roman"/>
          <w:sz w:val="22"/>
          <w:highlight w:val="yellow"/>
        </w:rPr>
        <w:t xml:space="preserve"> del anuncio de contrato</w:t>
      </w:r>
      <w:r>
        <w:rPr>
          <w:rFonts w:ascii="Times New Roman" w:hAnsi="Times New Roman"/>
          <w:sz w:val="22"/>
        </w:rPr>
        <w:t>&gt;.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Pr>
          <w:rFonts w:ascii="Times New Roman" w:hAnsi="Times New Roman"/>
          <w:sz w:val="22"/>
        </w:rPr>
        <w:t>El «Formulario de presentación de una oferta para un contrato de suministro», junto con su anexo 1, «Declaración jurada sobre criterios de exclusión y criterios de selección», debidamente completados, que incluya la declaración del licitador, punto 7, (de cada miembro en el caso de un consorcio):</w:t>
      </w:r>
    </w:p>
    <w:p w:rsidR="0047783A" w:rsidRPr="00E82463" w:rsidRDefault="004133E9" w:rsidP="004133E9">
      <w:pPr>
        <w:numPr>
          <w:ilvl w:val="0"/>
          <w:numId w:val="6"/>
        </w:numPr>
        <w:tabs>
          <w:tab w:val="clear" w:pos="1211"/>
        </w:tabs>
        <w:spacing w:before="0" w:after="240"/>
        <w:ind w:left="1134" w:hanging="567"/>
        <w:jc w:val="both"/>
        <w:rPr>
          <w:rFonts w:ascii="Times New Roman" w:hAnsi="Times New Roman"/>
          <w:sz w:val="22"/>
          <w:szCs w:val="22"/>
        </w:rPr>
      </w:pPr>
      <w:r>
        <w:rPr>
          <w:rFonts w:ascii="Times New Roman" w:hAnsi="Times New Roman"/>
          <w:sz w:val="22"/>
        </w:rPr>
        <w:tab/>
      </w:r>
      <w:r w:rsidR="0047783A">
        <w:rPr>
          <w:rFonts w:ascii="Times New Roman" w:hAnsi="Times New Roman"/>
          <w:sz w:val="22"/>
        </w:rPr>
        <w:t>Los datos de la cuenta bancaria en la que deban efectuarse los pagos (</w:t>
      </w:r>
      <w:r w:rsidR="00AC1FFD">
        <w:rPr>
          <w:rFonts w:ascii="Times New Roman" w:hAnsi="Times New Roman"/>
          <w:sz w:val="22"/>
        </w:rPr>
        <w:t>ficha</w:t>
      </w:r>
      <w:r w:rsidR="0047783A">
        <w:rPr>
          <w:rFonts w:ascii="Times New Roman" w:hAnsi="Times New Roman"/>
          <w:sz w:val="22"/>
        </w:rPr>
        <w:t xml:space="preserve"> de identificación financiera – documento c4o1_fif_es) (Los licitadores que ya hayan firmado otro contrato con la Comisión Europea, podrán proporcionar en vez de la ficha de identificación financiera, bien su número de </w:t>
      </w:r>
      <w:r w:rsidR="00AC1FFD">
        <w:rPr>
          <w:rFonts w:ascii="Times New Roman" w:hAnsi="Times New Roman"/>
          <w:sz w:val="22"/>
        </w:rPr>
        <w:t>ficha</w:t>
      </w:r>
      <w:r w:rsidR="0047783A">
        <w:rPr>
          <w:rFonts w:ascii="Times New Roman" w:hAnsi="Times New Roman"/>
          <w:sz w:val="22"/>
        </w:rPr>
        <w:t xml:space="preserve"> de identificación financiera o una copia de la </w:t>
      </w:r>
      <w:r w:rsidR="00AC1FFD">
        <w:rPr>
          <w:rFonts w:ascii="Times New Roman" w:hAnsi="Times New Roman"/>
          <w:sz w:val="22"/>
        </w:rPr>
        <w:t>ficha</w:t>
      </w:r>
      <w:r w:rsidR="0047783A">
        <w:rPr>
          <w:rFonts w:ascii="Times New Roman" w:hAnsi="Times New Roman"/>
          <w:sz w:val="22"/>
        </w:rPr>
        <w:t xml:space="preserve"> de identificación financiera proporcionada para esa ocasión, si no se han producido cambios mientras tanto).</w:t>
      </w:r>
    </w:p>
    <w:p w:rsidR="0047783A" w:rsidRPr="00E82463" w:rsidRDefault="004133E9" w:rsidP="004133E9">
      <w:pPr>
        <w:numPr>
          <w:ilvl w:val="0"/>
          <w:numId w:val="6"/>
        </w:numPr>
        <w:tabs>
          <w:tab w:val="clear" w:pos="1211"/>
        </w:tabs>
        <w:ind w:left="1134" w:hanging="567"/>
        <w:jc w:val="both"/>
        <w:rPr>
          <w:rFonts w:ascii="Times New Roman" w:hAnsi="Times New Roman"/>
          <w:sz w:val="22"/>
          <w:szCs w:val="22"/>
        </w:rPr>
      </w:pPr>
      <w:r>
        <w:rPr>
          <w:rFonts w:ascii="Times New Roman" w:hAnsi="Times New Roman"/>
          <w:sz w:val="22"/>
        </w:rPr>
        <w:tab/>
      </w:r>
      <w:r w:rsidR="0047783A">
        <w:rPr>
          <w:rFonts w:ascii="Times New Roman" w:hAnsi="Times New Roman"/>
          <w:sz w:val="22"/>
        </w:rPr>
        <w:t xml:space="preserve">La ficha de entidad legal (documento c4o2_lefind_es) y los </w:t>
      </w:r>
      <w:r w:rsidR="00AC1FFD">
        <w:rPr>
          <w:rFonts w:ascii="Times New Roman" w:hAnsi="Times New Roman"/>
          <w:sz w:val="22"/>
        </w:rPr>
        <w:t>justificantes</w:t>
      </w:r>
      <w:r w:rsidR="0047783A">
        <w:rPr>
          <w:rFonts w:ascii="Times New Roman" w:hAnsi="Times New Roman"/>
          <w:sz w:val="22"/>
        </w:rPr>
        <w:t xml:space="preserve"> (Los licitadores que ya hayan firmado otro contrato con la Comisión Europea, podrán proporcionar en vez de la ficha de entidad legal y los </w:t>
      </w:r>
      <w:r w:rsidR="00AC1FFD">
        <w:rPr>
          <w:rFonts w:ascii="Times New Roman" w:hAnsi="Times New Roman"/>
          <w:sz w:val="22"/>
        </w:rPr>
        <w:t>justificantes</w:t>
      </w:r>
      <w:r w:rsidR="0047783A">
        <w:rPr>
          <w:rFonts w:ascii="Times New Roman" w:hAnsi="Times New Roman"/>
          <w:sz w:val="22"/>
        </w:rPr>
        <w:t>, su número de entidad legal o bien una copia de la ficha de entidad legal proporcionada para esa ocasión, si no se han producido cambios mientras tanto).</w:t>
      </w:r>
    </w:p>
    <w:p w:rsidR="0047783A" w:rsidRPr="00E82463" w:rsidRDefault="0047783A" w:rsidP="0047783A">
      <w:pPr>
        <w:tabs>
          <w:tab w:val="left" w:pos="993"/>
        </w:tabs>
        <w:spacing w:after="0"/>
        <w:ind w:left="567"/>
        <w:rPr>
          <w:rFonts w:ascii="Times New Roman" w:hAnsi="Times New Roman"/>
          <w:sz w:val="22"/>
          <w:szCs w:val="22"/>
        </w:rPr>
      </w:pPr>
      <w:r>
        <w:rPr>
          <w:rFonts w:ascii="Times New Roman" w:hAnsi="Times New Roman"/>
          <w:sz w:val="22"/>
        </w:rPr>
        <w:t>Preséntese en formato de texto:</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 xml:space="preserve">Una descripción de las condiciones de garantía, que deberá cumplir las condiciones establecidas en la cláusula 32 de las </w:t>
      </w:r>
      <w:r w:rsidR="00AC1FFD">
        <w:rPr>
          <w:rFonts w:ascii="Times New Roman" w:hAnsi="Times New Roman"/>
          <w:sz w:val="22"/>
        </w:rPr>
        <w:t>C</w:t>
      </w:r>
      <w:r>
        <w:rPr>
          <w:rFonts w:ascii="Times New Roman" w:hAnsi="Times New Roman"/>
          <w:sz w:val="22"/>
        </w:rPr>
        <w:t xml:space="preserve">ondiciones </w:t>
      </w:r>
      <w:r w:rsidR="00AC1FFD">
        <w:rPr>
          <w:rFonts w:ascii="Times New Roman" w:hAnsi="Times New Roman"/>
          <w:sz w:val="22"/>
        </w:rPr>
        <w:t>Ge</w:t>
      </w:r>
      <w:r>
        <w:rPr>
          <w:rFonts w:ascii="Times New Roman" w:hAnsi="Times New Roman"/>
          <w:sz w:val="22"/>
        </w:rPr>
        <w:t>nerales.</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w:t>
      </w:r>
      <w:r>
        <w:rPr>
          <w:rFonts w:ascii="Times New Roman" w:hAnsi="Times New Roman"/>
          <w:sz w:val="22"/>
          <w:highlight w:val="yellow"/>
        </w:rPr>
        <w:t>Si se exige una garantía comercial</w:t>
      </w:r>
      <w:r>
        <w:rPr>
          <w:rFonts w:ascii="Times New Roman" w:hAnsi="Times New Roman"/>
          <w:sz w:val="22"/>
        </w:rPr>
        <w:t xml:space="preserve">: una descripción de la organización que presta la garantía de la oferta, que deberá cumplir con las condiciones establecidas en </w:t>
      </w:r>
      <w:r w:rsidR="00B46AEA">
        <w:rPr>
          <w:rFonts w:ascii="Times New Roman" w:hAnsi="Times New Roman"/>
          <w:sz w:val="22"/>
        </w:rPr>
        <w:t>la cláusula</w:t>
      </w:r>
      <w:r>
        <w:rPr>
          <w:rFonts w:ascii="Times New Roman" w:hAnsi="Times New Roman"/>
          <w:sz w:val="22"/>
        </w:rPr>
        <w:t xml:space="preserve"> 32 de las </w:t>
      </w:r>
      <w:r w:rsidR="00AC1FFD">
        <w:rPr>
          <w:rFonts w:ascii="Times New Roman" w:hAnsi="Times New Roman"/>
          <w:sz w:val="22"/>
        </w:rPr>
        <w:t>C</w:t>
      </w:r>
      <w:r>
        <w:rPr>
          <w:rFonts w:ascii="Times New Roman" w:hAnsi="Times New Roman"/>
          <w:sz w:val="22"/>
        </w:rPr>
        <w:t xml:space="preserve">ondiciones </w:t>
      </w:r>
      <w:r w:rsidR="00AC1FFD">
        <w:rPr>
          <w:rFonts w:ascii="Times New Roman" w:hAnsi="Times New Roman"/>
          <w:sz w:val="22"/>
        </w:rPr>
        <w:t>P</w:t>
      </w:r>
      <w:r>
        <w:rPr>
          <w:rFonts w:ascii="Times New Roman" w:hAnsi="Times New Roman"/>
          <w:sz w:val="22"/>
        </w:rPr>
        <w:t>articulares].</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Una declaración del licitador que atestigüe el origen de los suministros incluidos en la oferta (u otras pruebas de origen).</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Firma debidamente autorizada: un documento oficial (estatutos, poderes de representación, acta notarial, etc.) que pruebe que la persona que firma en nombre de la compañía, asociación de empresas o consorcio está debidamente autorizada para hacerlo.</w:t>
      </w:r>
    </w:p>
    <w:p w:rsidR="0047783A" w:rsidRPr="00E82463" w:rsidRDefault="000D66C0"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[&lt;</w:t>
      </w:r>
      <w:r>
        <w:rPr>
          <w:rFonts w:ascii="Times New Roman" w:hAnsi="Times New Roman"/>
          <w:sz w:val="22"/>
          <w:highlight w:val="yellow"/>
        </w:rPr>
        <w:t>Otro</w:t>
      </w:r>
      <w:r>
        <w:rPr>
          <w:rFonts w:ascii="Times New Roman" w:hAnsi="Times New Roman"/>
          <w:sz w:val="22"/>
        </w:rPr>
        <w:t>&gt;]</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Pr>
          <w:rFonts w:ascii="Times New Roman" w:hAnsi="Times New Roman"/>
          <w:sz w:val="22"/>
        </w:rPr>
        <w:t>Observaciones:</w:t>
      </w:r>
    </w:p>
    <w:p w:rsidR="0047783A" w:rsidRPr="00E82463" w:rsidRDefault="0047783A" w:rsidP="0047783A">
      <w:pPr>
        <w:spacing w:after="0"/>
        <w:ind w:left="567"/>
        <w:rPr>
          <w:rFonts w:ascii="Times New Roman" w:hAnsi="Times New Roman"/>
          <w:sz w:val="22"/>
          <w:szCs w:val="22"/>
        </w:rPr>
      </w:pPr>
      <w:r>
        <w:rPr>
          <w:rFonts w:ascii="Times New Roman" w:hAnsi="Times New Roman"/>
          <w:sz w:val="22"/>
        </w:rPr>
        <w:t>Se solicita a los licitadores que sigan este orden de presentación.</w:t>
      </w:r>
    </w:p>
    <w:p w:rsidR="0047783A" w:rsidRPr="00E82463" w:rsidRDefault="0047783A" w:rsidP="0047783A">
      <w:pPr>
        <w:ind w:left="567"/>
        <w:rPr>
          <w:rFonts w:ascii="Times New Roman" w:hAnsi="Times New Roman"/>
          <w:snapToGrid/>
          <w:sz w:val="22"/>
          <w:szCs w:val="22"/>
        </w:rPr>
      </w:pPr>
      <w:r>
        <w:rPr>
          <w:rFonts w:ascii="Times New Roman" w:hAnsi="Times New Roman"/>
          <w:sz w:val="22"/>
        </w:rPr>
        <w:t xml:space="preserve">El anexo* hace referencia a los modelos adjuntos al expediente de licitación. Estos modelos se encuentran también disponibles en: </w:t>
      </w:r>
      <w:hyperlink r:id="rId9">
        <w:r>
          <w:rPr>
            <w:rStyle w:val="Hyperlink"/>
            <w:rFonts w:ascii="Times New Roman" w:hAnsi="Times New Roman"/>
            <w:snapToGrid/>
            <w:sz w:val="22"/>
          </w:rPr>
          <w:t>http://ec.europa.eu/europeaid/prag/annexes.do?group=C</w:t>
        </w:r>
      </w:hyperlink>
      <w:r>
        <w:rPr>
          <w:rFonts w:ascii="Times New Roman" w:hAnsi="Times New Roman"/>
          <w:snapToGrid/>
          <w:color w:val="0000FF"/>
          <w:sz w:val="22"/>
          <w:u w:val="single"/>
        </w:rPr>
        <w:t xml:space="preserve"> </w:t>
      </w:r>
    </w:p>
    <w:p w:rsidR="0047783A" w:rsidRPr="00E82463" w:rsidRDefault="0047783A" w:rsidP="00710F13">
      <w:pPr>
        <w:pStyle w:val="Heading1"/>
      </w:pPr>
      <w:bookmarkStart w:id="20" w:name="_Toc42488081"/>
      <w:r>
        <w:t>Tasas y otros derechos</w:t>
      </w:r>
      <w:bookmarkEnd w:id="20"/>
    </w:p>
    <w:p w:rsidR="0047783A" w:rsidRPr="00E82463" w:rsidRDefault="0047783A" w:rsidP="00AC07D4">
      <w:pPr>
        <w:pStyle w:val="Heading2"/>
        <w:ind w:left="567"/>
        <w:jc w:val="both"/>
        <w:rPr>
          <w:rFonts w:ascii="Times New Roman" w:hAnsi="Times New Roman"/>
          <w:sz w:val="22"/>
        </w:rPr>
      </w:pPr>
      <w:r>
        <w:rPr>
          <w:rFonts w:ascii="Times New Roman" w:hAnsi="Times New Roman"/>
          <w:sz w:val="22"/>
        </w:rPr>
        <w:t>Disposiciones fiscales y aduaneras aplicables:</w:t>
      </w:r>
    </w:p>
    <w:p w:rsidR="0047783A" w:rsidRPr="00E82463" w:rsidRDefault="0047783A" w:rsidP="00AC07D4">
      <w:pPr>
        <w:ind w:left="567"/>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La Comisión Europea y</w:t>
      </w:r>
      <w:r>
        <w:rPr>
          <w:rFonts w:ascii="Times New Roman" w:hAnsi="Times New Roman"/>
          <w:sz w:val="22"/>
        </w:rPr>
        <w:t xml:space="preserve"> &lt;</w:t>
      </w:r>
      <w:r>
        <w:rPr>
          <w:rFonts w:ascii="Times New Roman" w:hAnsi="Times New Roman"/>
          <w:sz w:val="22"/>
          <w:highlight w:val="yellow"/>
        </w:rPr>
        <w:t>nombre del (de los) país(es) socio(s)</w:t>
      </w:r>
      <w:r>
        <w:rPr>
          <w:rFonts w:ascii="Times New Roman" w:hAnsi="Times New Roman"/>
          <w:sz w:val="22"/>
        </w:rPr>
        <w:t xml:space="preserve"> &gt; </w:t>
      </w:r>
      <w:r>
        <w:rPr>
          <w:rFonts w:ascii="Times New Roman" w:hAnsi="Times New Roman"/>
          <w:sz w:val="22"/>
          <w:highlight w:val="lightGray"/>
        </w:rPr>
        <w:t>han acordado</w:t>
      </w:r>
      <w:r>
        <w:rPr>
          <w:rFonts w:ascii="Times New Roman" w:hAnsi="Times New Roman"/>
          <w:sz w:val="22"/>
        </w:rPr>
        <w:t xml:space="preserve"> &lt; </w:t>
      </w:r>
      <w:r>
        <w:rPr>
          <w:rFonts w:ascii="Times New Roman" w:hAnsi="Times New Roman"/>
          <w:sz w:val="22"/>
          <w:highlight w:val="yellow"/>
        </w:rPr>
        <w:t>mencionar la referencia al correspondiente convenio de financiación o acuerdo marco</w:t>
      </w:r>
      <w:r>
        <w:rPr>
          <w:rFonts w:ascii="Times New Roman" w:hAnsi="Times New Roman"/>
          <w:sz w:val="22"/>
        </w:rPr>
        <w:t xml:space="preserve"> </w:t>
      </w:r>
      <w:r>
        <w:rPr>
          <w:rFonts w:ascii="Times New Roman" w:hAnsi="Times New Roman"/>
          <w:sz w:val="22"/>
          <w:highlight w:val="lightGray"/>
        </w:rPr>
        <w:t>&gt; permitir una exención [parcial] [total] de los siguientes impuestos</w:t>
      </w:r>
      <w:r>
        <w:rPr>
          <w:rFonts w:ascii="Times New Roman" w:hAnsi="Times New Roman"/>
          <w:sz w:val="22"/>
        </w:rPr>
        <w:t xml:space="preserve"> &lt; </w:t>
      </w:r>
      <w:r>
        <w:rPr>
          <w:rFonts w:ascii="Times New Roman" w:hAnsi="Times New Roman"/>
          <w:sz w:val="22"/>
          <w:highlight w:val="yellow"/>
        </w:rPr>
        <w:t>especificar los impuestos</w:t>
      </w:r>
      <w:r>
        <w:rPr>
          <w:rFonts w:ascii="Times New Roman" w:hAnsi="Times New Roman"/>
          <w:sz w:val="22"/>
        </w:rPr>
        <w:t xml:space="preserve"> &gt;.  </w:t>
      </w:r>
      <w:r>
        <w:rPr>
          <w:rFonts w:ascii="Times New Roman" w:hAnsi="Times New Roman"/>
          <w:sz w:val="22"/>
          <w:highlight w:val="yellow"/>
        </w:rPr>
        <w:t xml:space="preserve">(Se puede añadir información más específica, como detalles de la autoridad competente del [de los] país[es] socio[s], referencia a los procedimientos de exoneración en virtud de la legislación nacional (por ejemplo, formalidades necesarias, esquema de la excepción </w:t>
      </w:r>
      <w:r w:rsidR="00AA3993">
        <w:rPr>
          <w:rFonts w:ascii="Times New Roman" w:hAnsi="Times New Roman"/>
          <w:sz w:val="22"/>
          <w:highlight w:val="yellow"/>
        </w:rPr>
        <w:t>previa</w:t>
      </w:r>
      <w:r>
        <w:rPr>
          <w:rFonts w:ascii="Times New Roman" w:hAnsi="Times New Roman"/>
          <w:i/>
          <w:sz w:val="22"/>
          <w:highlight w:val="yellow"/>
        </w:rPr>
        <w:t xml:space="preserve"> </w:t>
      </w:r>
      <w:r>
        <w:rPr>
          <w:rFonts w:ascii="Times New Roman" w:hAnsi="Times New Roman"/>
          <w:sz w:val="22"/>
          <w:highlight w:val="yellow"/>
        </w:rPr>
        <w:t xml:space="preserve">o la devolución </w:t>
      </w:r>
      <w:r w:rsidR="00AA3993">
        <w:rPr>
          <w:rFonts w:ascii="Times New Roman" w:hAnsi="Times New Roman"/>
          <w:i/>
          <w:sz w:val="22"/>
          <w:highlight w:val="yellow"/>
        </w:rPr>
        <w:t>a posteriori</w:t>
      </w:r>
      <w:r>
        <w:rPr>
          <w:rFonts w:ascii="Times New Roman" w:hAnsi="Times New Roman"/>
          <w:sz w:val="22"/>
          <w:highlight w:val="yellow"/>
        </w:rPr>
        <w:t>, etc.)).</w:t>
      </w:r>
      <w:r>
        <w:rPr>
          <w:rFonts w:ascii="Times New Roman" w:hAnsi="Times New Roman"/>
          <w:sz w:val="22"/>
        </w:rPr>
        <w:t xml:space="preserve"> </w:t>
      </w:r>
    </w:p>
    <w:p w:rsidR="0047783A" w:rsidRPr="00E82463" w:rsidRDefault="0047783A" w:rsidP="000D66C0">
      <w:pPr>
        <w:ind w:left="567"/>
        <w:jc w:val="both"/>
        <w:rPr>
          <w:rFonts w:ascii="Times New Roman" w:hAnsi="Times New Roman"/>
          <w:sz w:val="22"/>
          <w:szCs w:val="22"/>
        </w:rPr>
      </w:pPr>
      <w:r>
        <w:rPr>
          <w:rFonts w:ascii="Times New Roman" w:hAnsi="Times New Roman"/>
          <w:sz w:val="22"/>
          <w:highlight w:val="yellow"/>
        </w:rPr>
        <w:t>O</w:t>
      </w:r>
      <w:r>
        <w:rPr>
          <w:rFonts w:ascii="Times New Roman" w:hAnsi="Times New Roman"/>
          <w:sz w:val="22"/>
        </w:rPr>
        <w:t xml:space="preserve"> [</w:t>
      </w:r>
      <w:r>
        <w:rPr>
          <w:rFonts w:ascii="Times New Roman" w:hAnsi="Times New Roman"/>
          <w:sz w:val="22"/>
          <w:highlight w:val="lightGray"/>
        </w:rPr>
        <w:t>No hay acuerdo entre la Comisión Europea y &lt;</w:t>
      </w:r>
      <w:r>
        <w:rPr>
          <w:rFonts w:ascii="Times New Roman" w:hAnsi="Times New Roman"/>
          <w:sz w:val="22"/>
          <w:highlight w:val="yellow"/>
        </w:rPr>
        <w:t>nombre del país socio</w:t>
      </w:r>
      <w:r>
        <w:rPr>
          <w:rFonts w:ascii="Times New Roman" w:hAnsi="Times New Roman"/>
          <w:sz w:val="22"/>
        </w:rPr>
        <w:t xml:space="preserve">&gt; </w:t>
      </w:r>
      <w:r>
        <w:rPr>
          <w:rFonts w:ascii="Times New Roman" w:hAnsi="Times New Roman"/>
          <w:sz w:val="22"/>
          <w:highlight w:val="lightGray"/>
        </w:rPr>
        <w:t>que permita la exención parcial o total de los impuestos.]</w:t>
      </w:r>
    </w:p>
    <w:p w:rsidR="0047783A" w:rsidRPr="00E82463" w:rsidRDefault="0047783A" w:rsidP="003051AA">
      <w:pPr>
        <w:pStyle w:val="Heading2"/>
        <w:keepNext w:val="0"/>
        <w:tabs>
          <w:tab w:val="num" w:pos="567"/>
        </w:tabs>
        <w:spacing w:before="0"/>
        <w:ind w:left="567"/>
        <w:jc w:val="both"/>
        <w:rPr>
          <w:rFonts w:ascii="Times New Roman" w:hAnsi="Times New Roman"/>
          <w:sz w:val="22"/>
        </w:rPr>
      </w:pPr>
      <w:r>
        <w:rPr>
          <w:rFonts w:ascii="Times New Roman" w:hAnsi="Times New Roman"/>
          <w:sz w:val="22"/>
        </w:rPr>
        <w:t>[</w:t>
      </w:r>
      <w:r>
        <w:rPr>
          <w:rFonts w:ascii="Times New Roman" w:hAnsi="Times New Roman"/>
          <w:sz w:val="22"/>
          <w:highlight w:val="yellow"/>
        </w:rPr>
        <w:t>FED:</w:t>
      </w:r>
      <w:r>
        <w:rPr>
          <w:rFonts w:ascii="Times New Roman" w:hAnsi="Times New Roman"/>
          <w:sz w:val="22"/>
        </w:rPr>
        <w:t xml:space="preserve"> </w:t>
      </w:r>
      <w:r>
        <w:rPr>
          <w:rFonts w:ascii="Times New Roman" w:hAnsi="Times New Roman"/>
          <w:sz w:val="22"/>
          <w:highlight w:val="lightGray"/>
        </w:rPr>
        <w:t>Las disposiciones relativas al régimen fiscal y aduanero vienen establecidas en anexo al expediente de licitación.]</w:t>
      </w:r>
    </w:p>
    <w:p w:rsidR="0047783A" w:rsidRPr="00E82463" w:rsidRDefault="0047783A" w:rsidP="00710F13">
      <w:pPr>
        <w:pStyle w:val="Heading1"/>
      </w:pPr>
      <w:bookmarkStart w:id="21" w:name="_Toc42488082"/>
      <w:r>
        <w:t>Información complementaria antes de que finalice el plazo de presentación de las ofertas</w:t>
      </w:r>
      <w:bookmarkEnd w:id="21"/>
    </w:p>
    <w:p w:rsidR="00B1020F" w:rsidRPr="00B1020F" w:rsidRDefault="00B1020F" w:rsidP="00B1020F">
      <w:pPr>
        <w:pStyle w:val="BodyText"/>
        <w:ind w:left="567"/>
        <w:jc w:val="both"/>
        <w:rPr>
          <w:rFonts w:ascii="Times New Roman" w:hAnsi="Times New Roman"/>
          <w:sz w:val="22"/>
        </w:rPr>
      </w:pPr>
      <w:r w:rsidRPr="00B1020F">
        <w:rPr>
          <w:rFonts w:ascii="Times New Roman" w:hAnsi="Times New Roman"/>
          <w:sz w:val="22"/>
        </w:rPr>
        <w:t xml:space="preserve">Toda solicitud de información adicional debe hacerse por escrito a través del sitio web de TED eTendering accesible a través del portal de F&amp;T en </w:t>
      </w:r>
      <w:hyperlink r:id="rId10" w:history="1">
        <w:r w:rsidRPr="00B1020F">
          <w:rPr>
            <w:rStyle w:val="Hyperlink"/>
            <w:rFonts w:ascii="Times New Roman" w:hAnsi="Times New Roman"/>
            <w:sz w:val="22"/>
          </w:rPr>
          <w:t>https://ec.europa.eu/info/funding-tenders/opportunities/portal/screen/home</w:t>
        </w:r>
      </w:hyperlink>
      <w:r w:rsidRPr="00B1020F">
        <w:rPr>
          <w:rFonts w:ascii="Times New Roman" w:hAnsi="Times New Roman"/>
          <w:sz w:val="22"/>
        </w:rPr>
        <w:t xml:space="preserve">. Es necesario registrarse en TED eTendering para poder crear y enviar una pregunta. Se puede solicitar información adicional </w:t>
      </w:r>
      <w:r w:rsidR="00FD1E3F">
        <w:rPr>
          <w:rFonts w:ascii="Times New Roman" w:hAnsi="Times New Roman"/>
          <w:sz w:val="22"/>
        </w:rPr>
        <w:t xml:space="preserve">seleccionando </w:t>
      </w:r>
      <w:r w:rsidRPr="00B1020F">
        <w:rPr>
          <w:rFonts w:ascii="Times New Roman" w:hAnsi="Times New Roman"/>
          <w:sz w:val="22"/>
        </w:rPr>
        <w:t xml:space="preserve">"Crear una pregunta" en la pestaña de Preguntas y Respuestas a más tardar 21 días antes del plazo de presentación de ofertas establecido en la sección </w:t>
      </w:r>
      <w:r w:rsidRPr="000177A0">
        <w:rPr>
          <w:rFonts w:ascii="Times New Roman" w:hAnsi="Times New Roman"/>
          <w:b/>
          <w:sz w:val="22"/>
        </w:rPr>
        <w:t>IV.2.2) del anuncio de contrato</w:t>
      </w:r>
      <w:r w:rsidRPr="00B1020F">
        <w:rPr>
          <w:rFonts w:ascii="Times New Roman" w:hAnsi="Times New Roman"/>
          <w:sz w:val="22"/>
        </w:rPr>
        <w:t>.</w:t>
      </w:r>
    </w:p>
    <w:p w:rsidR="0047783A" w:rsidRPr="00E82463" w:rsidRDefault="0047783A" w:rsidP="00AC07D4">
      <w:pPr>
        <w:pStyle w:val="BodyText"/>
        <w:ind w:left="567"/>
        <w:jc w:val="both"/>
        <w:rPr>
          <w:rFonts w:ascii="Times New Roman" w:hAnsi="Times New Roman"/>
          <w:sz w:val="22"/>
          <w:szCs w:val="22"/>
        </w:rPr>
      </w:pPr>
      <w:r>
        <w:rPr>
          <w:rFonts w:ascii="Times New Roman" w:hAnsi="Times New Roman"/>
          <w:sz w:val="22"/>
        </w:rPr>
        <w:t>Después de esta fecha el Órgano de Contratación no estará obligado a dar más aclaraciones.</w:t>
      </w:r>
    </w:p>
    <w:p w:rsidR="0047783A" w:rsidRPr="00B1020F" w:rsidRDefault="0047783A" w:rsidP="00B1020F">
      <w:pPr>
        <w:pStyle w:val="BodyText"/>
        <w:ind w:left="567"/>
        <w:jc w:val="both"/>
        <w:rPr>
          <w:sz w:val="22"/>
        </w:rPr>
      </w:pPr>
      <w:r>
        <w:rPr>
          <w:rFonts w:ascii="Times New Roman" w:hAnsi="Times New Roman"/>
          <w:sz w:val="22"/>
        </w:rPr>
        <w:t xml:space="preserve">Las eventuales aclaraciones del expediente de licitación </w:t>
      </w:r>
      <w:r w:rsidR="00F30D59" w:rsidRPr="00F30D59">
        <w:rPr>
          <w:rFonts w:ascii="Times New Roman" w:hAnsi="Times New Roman"/>
          <w:sz w:val="22"/>
        </w:rPr>
        <w:t xml:space="preserve">se publicarán en TED eTendering </w:t>
      </w:r>
      <w:r>
        <w:rPr>
          <w:rFonts w:ascii="Times New Roman" w:hAnsi="Times New Roman"/>
          <w:sz w:val="22"/>
        </w:rPr>
        <w:t>[</w:t>
      </w:r>
      <w:r>
        <w:rPr>
          <w:rFonts w:ascii="Times New Roman" w:hAnsi="Times New Roman"/>
          <w:sz w:val="22"/>
          <w:highlight w:val="lightGray"/>
        </w:rPr>
        <w:t>y</w:t>
      </w:r>
      <w:r>
        <w:rPr>
          <w:rFonts w:ascii="Times New Roman" w:hAnsi="Times New Roman"/>
          <w:sz w:val="22"/>
        </w:rPr>
        <w:t xml:space="preserve"> &lt;</w:t>
      </w:r>
      <w:r>
        <w:rPr>
          <w:rFonts w:ascii="Times New Roman" w:hAnsi="Times New Roman"/>
          <w:sz w:val="22"/>
          <w:highlight w:val="yellow"/>
        </w:rPr>
        <w:t>especifíquense los medios de comunicación</w:t>
      </w:r>
      <w:r>
        <w:rPr>
          <w:rFonts w:ascii="Times New Roman" w:hAnsi="Times New Roman"/>
          <w:sz w:val="22"/>
        </w:rPr>
        <w:t>&gt;] al menos 11 días antes de que finalice el plazo de presentación de las ofertas.</w:t>
      </w:r>
      <w:r w:rsidR="00B1020F">
        <w:rPr>
          <w:rFonts w:ascii="Times New Roman" w:hAnsi="Times New Roman"/>
          <w:sz w:val="22"/>
        </w:rPr>
        <w:t xml:space="preserve"> </w:t>
      </w:r>
      <w:r w:rsidR="00B1020F" w:rsidRPr="00B1020F">
        <w:rPr>
          <w:rFonts w:ascii="Times New Roman" w:hAnsi="Times New Roman"/>
          <w:sz w:val="22"/>
        </w:rPr>
        <w:t>El sitio web se actualizará periódicamente y es responsabilidad de los licitadores comprobar las actualizaciones y modificaciones durante el período de presentación.</w:t>
      </w:r>
    </w:p>
    <w:p w:rsidR="0047783A" w:rsidRPr="00E82463" w:rsidRDefault="0047783A" w:rsidP="00AC07D4">
      <w:pPr>
        <w:pStyle w:val="BodyText"/>
        <w:ind w:left="567"/>
        <w:jc w:val="both"/>
        <w:rPr>
          <w:rFonts w:ascii="Times New Roman" w:hAnsi="Times New Roman"/>
          <w:sz w:val="22"/>
        </w:rPr>
      </w:pPr>
      <w:r>
        <w:rPr>
          <w:rFonts w:ascii="Times New Roman" w:hAnsi="Times New Roman"/>
          <w:sz w:val="22"/>
        </w:rPr>
        <w:t xml:space="preserve">Todo licitador que trate de organizar reuniones individuales con el Órgano de Contratación o con la Comisión Europea durante el </w:t>
      </w:r>
      <w:r w:rsidR="00CD7BFB">
        <w:rPr>
          <w:rFonts w:ascii="Times New Roman" w:hAnsi="Times New Roman"/>
          <w:sz w:val="22"/>
        </w:rPr>
        <w:t>período</w:t>
      </w:r>
      <w:r>
        <w:rPr>
          <w:rFonts w:ascii="Times New Roman" w:hAnsi="Times New Roman"/>
          <w:sz w:val="22"/>
        </w:rPr>
        <w:t xml:space="preserve"> de licitación puede ser excluido de la licitación.</w:t>
      </w:r>
    </w:p>
    <w:p w:rsidR="0047783A" w:rsidRPr="00E82463" w:rsidRDefault="0047783A" w:rsidP="00710F13">
      <w:pPr>
        <w:pStyle w:val="Heading1"/>
      </w:pPr>
      <w:bookmarkStart w:id="22" w:name="_Toc42488083"/>
      <w:r>
        <w:t>Reunión aclaratoria / visita sobre el terreno</w:t>
      </w:r>
      <w:bookmarkEnd w:id="22"/>
    </w:p>
    <w:p w:rsidR="0047783A" w:rsidRPr="00E82463" w:rsidRDefault="0047783A" w:rsidP="00AC07D4">
      <w:pPr>
        <w:pStyle w:val="BodyText"/>
        <w:ind w:left="567"/>
        <w:rPr>
          <w:rFonts w:ascii="Times New Roman" w:hAnsi="Times New Roman"/>
          <w:b/>
          <w:sz w:val="22"/>
          <w:szCs w:val="22"/>
        </w:rPr>
      </w:pPr>
      <w:r>
        <w:rPr>
          <w:rFonts w:ascii="Times New Roman" w:hAnsi="Times New Roman"/>
          <w:b/>
          <w:sz w:val="22"/>
        </w:rPr>
        <w:t>[</w:t>
      </w:r>
      <w:r>
        <w:rPr>
          <w:rFonts w:ascii="Times New Roman" w:hAnsi="Times New Roman"/>
          <w:b/>
          <w:sz w:val="22"/>
          <w:highlight w:val="yellow"/>
        </w:rPr>
        <w:t>Alternativa 1:</w:t>
      </w:r>
    </w:p>
    <w:p w:rsidR="0047783A" w:rsidRPr="00E82463" w:rsidRDefault="0047783A" w:rsidP="004133E9">
      <w:pPr>
        <w:pStyle w:val="BodyText"/>
        <w:ind w:left="567" w:hanging="567"/>
        <w:jc w:val="both"/>
        <w:rPr>
          <w:rFonts w:ascii="Times New Roman" w:hAnsi="Times New Roman"/>
          <w:sz w:val="22"/>
          <w:szCs w:val="22"/>
          <w:highlight w:val="lightGray"/>
        </w:rPr>
      </w:pPr>
      <w:r>
        <w:rPr>
          <w:rFonts w:ascii="Times New Roman" w:hAnsi="Times New Roman"/>
          <w:sz w:val="22"/>
          <w:highlight w:val="lightGray"/>
        </w:rPr>
        <w:t>14.1</w:t>
      </w:r>
      <w:r w:rsidRPr="00D273BE">
        <w:rPr>
          <w:rFonts w:ascii="Times New Roman" w:hAnsi="Times New Roman"/>
          <w:sz w:val="22"/>
          <w:highlight w:val="lightGray"/>
        </w:rPr>
        <w:tab/>
      </w:r>
      <w:r>
        <w:rPr>
          <w:rFonts w:ascii="Times New Roman" w:hAnsi="Times New Roman"/>
          <w:sz w:val="22"/>
          <w:highlight w:val="lightGray"/>
        </w:rPr>
        <w:t xml:space="preserve">No se prevé realizar ninguna reunión aclaratoria / visita sobre el terreno. No se podrán organizar visitas a título individual para los licitadores potenciales durante el </w:t>
      </w:r>
      <w:r w:rsidR="00CD7BFB">
        <w:rPr>
          <w:rFonts w:ascii="Times New Roman" w:hAnsi="Times New Roman"/>
          <w:sz w:val="22"/>
          <w:highlight w:val="lightGray"/>
        </w:rPr>
        <w:t>período</w:t>
      </w:r>
      <w:r>
        <w:rPr>
          <w:rFonts w:ascii="Times New Roman" w:hAnsi="Times New Roman"/>
          <w:sz w:val="22"/>
          <w:highlight w:val="lightGray"/>
        </w:rPr>
        <w:t xml:space="preserve"> de licitación. ]</w:t>
      </w:r>
    </w:p>
    <w:p w:rsidR="0047783A" w:rsidRPr="00E82463" w:rsidRDefault="0047783A" w:rsidP="00AC07D4">
      <w:pPr>
        <w:pStyle w:val="BodyText"/>
        <w:ind w:left="567"/>
        <w:rPr>
          <w:rFonts w:ascii="Times New Roman" w:hAnsi="Times New Roman"/>
          <w:b/>
          <w:sz w:val="22"/>
          <w:szCs w:val="22"/>
        </w:rPr>
      </w:pPr>
      <w:r>
        <w:rPr>
          <w:rFonts w:ascii="Times New Roman" w:hAnsi="Times New Roman"/>
          <w:b/>
          <w:sz w:val="22"/>
        </w:rPr>
        <w:t>[</w:t>
      </w:r>
      <w:r>
        <w:rPr>
          <w:rFonts w:ascii="Times New Roman" w:hAnsi="Times New Roman"/>
          <w:b/>
          <w:sz w:val="22"/>
          <w:highlight w:val="yellow"/>
        </w:rPr>
        <w:t>Alternativa 2:</w:t>
      </w:r>
    </w:p>
    <w:p w:rsidR="0047783A" w:rsidRPr="00E82463" w:rsidRDefault="0047783A" w:rsidP="005F6B3B">
      <w:pPr>
        <w:pStyle w:val="Heading2"/>
        <w:keepNext w:val="0"/>
        <w:numPr>
          <w:ilvl w:val="1"/>
          <w:numId w:val="4"/>
        </w:numPr>
        <w:tabs>
          <w:tab w:val="clear" w:pos="792"/>
        </w:tabs>
        <w:ind w:left="567" w:hanging="567"/>
        <w:jc w:val="both"/>
        <w:rPr>
          <w:rFonts w:ascii="Times New Roman" w:hAnsi="Times New Roman"/>
          <w:sz w:val="22"/>
          <w:szCs w:val="22"/>
          <w:highlight w:val="lightGray"/>
        </w:rPr>
      </w:pPr>
      <w:r>
        <w:rPr>
          <w:rFonts w:ascii="Times New Roman" w:hAnsi="Times New Roman"/>
          <w:sz w:val="22"/>
          <w:highlight w:val="lightGray"/>
        </w:rPr>
        <w:t xml:space="preserve">Se celebrará una reunión aclaratoria / visita sobre el terreno el &lt; </w:t>
      </w:r>
      <w:r>
        <w:rPr>
          <w:rFonts w:ascii="Times New Roman" w:hAnsi="Times New Roman"/>
          <w:sz w:val="22"/>
          <w:highlight w:val="yellow"/>
        </w:rPr>
        <w:t xml:space="preserve">fecha, al menos 21 días </w:t>
      </w:r>
      <w:r w:rsidR="004133E9">
        <w:rPr>
          <w:rFonts w:ascii="Times New Roman" w:hAnsi="Times New Roman"/>
          <w:sz w:val="22"/>
          <w:highlight w:val="yellow"/>
        </w:rPr>
        <w:t xml:space="preserve">antes de que finalice el </w:t>
      </w:r>
      <w:r>
        <w:rPr>
          <w:rFonts w:ascii="Times New Roman" w:hAnsi="Times New Roman"/>
          <w:sz w:val="22"/>
          <w:highlight w:val="yellow"/>
        </w:rPr>
        <w:t xml:space="preserve">plazo de presentación de las ofertas </w:t>
      </w:r>
      <w:r>
        <w:rPr>
          <w:rFonts w:ascii="Times New Roman" w:hAnsi="Times New Roman"/>
          <w:sz w:val="22"/>
          <w:highlight w:val="lightGray"/>
        </w:rPr>
        <w:t xml:space="preserve">&gt; a las &lt; </w:t>
      </w:r>
      <w:r>
        <w:rPr>
          <w:rFonts w:ascii="Times New Roman" w:hAnsi="Times New Roman"/>
          <w:sz w:val="22"/>
          <w:highlight w:val="yellow"/>
        </w:rPr>
        <w:t>hora</w:t>
      </w:r>
      <w:r>
        <w:rPr>
          <w:rFonts w:ascii="Times New Roman" w:hAnsi="Times New Roman"/>
          <w:sz w:val="22"/>
          <w:highlight w:val="lightGray"/>
        </w:rPr>
        <w:t xml:space="preserve"> &gt; en &lt; </w:t>
      </w:r>
      <w:r>
        <w:rPr>
          <w:rFonts w:ascii="Times New Roman" w:hAnsi="Times New Roman"/>
          <w:sz w:val="22"/>
          <w:highlight w:val="yellow"/>
        </w:rPr>
        <w:t>dirección</w:t>
      </w:r>
      <w:r>
        <w:rPr>
          <w:rFonts w:ascii="Times New Roman" w:hAnsi="Times New Roman"/>
          <w:sz w:val="22"/>
          <w:highlight w:val="lightGray"/>
        </w:rPr>
        <w:t xml:space="preserve"> &gt; para responder a las preguntas sobre el expediente de licitación que se hayan enviado por escrito o que se planteen en la reunión. El contenido de esta se hará constar en acta, que será publicada en</w:t>
      </w:r>
      <w:r w:rsidR="00B1020F">
        <w:rPr>
          <w:rFonts w:ascii="Times New Roman" w:hAnsi="Times New Roman"/>
          <w:sz w:val="22"/>
          <w:highlight w:val="lightGray"/>
        </w:rPr>
        <w:t xml:space="preserve"> TED eTendering -</w:t>
      </w:r>
      <w:r>
        <w:rPr>
          <w:rFonts w:ascii="Times New Roman" w:hAnsi="Times New Roman"/>
          <w:sz w:val="22"/>
          <w:highlight w:val="lightGray"/>
        </w:rPr>
        <w:t xml:space="preserve"> junto con las eventuales aclaraciones en respuesta a preguntas escritas que no se aborden durante la reunión</w:t>
      </w:r>
      <w:r w:rsidR="00B1020F">
        <w:rPr>
          <w:rFonts w:ascii="Times New Roman" w:hAnsi="Times New Roman"/>
          <w:sz w:val="22"/>
          <w:highlight w:val="lightGray"/>
        </w:rPr>
        <w:t xml:space="preserve"> -</w:t>
      </w:r>
      <w:r>
        <w:rPr>
          <w:rFonts w:ascii="Times New Roman" w:hAnsi="Times New Roman"/>
          <w:sz w:val="22"/>
          <w:highlight w:val="lightGray"/>
        </w:rPr>
        <w:t xml:space="preserve"> como muy tarde 11 días antes de</w:t>
      </w:r>
      <w:r w:rsidR="004133E9">
        <w:rPr>
          <w:rFonts w:ascii="Times New Roman" w:hAnsi="Times New Roman"/>
          <w:sz w:val="22"/>
          <w:highlight w:val="lightGray"/>
        </w:rPr>
        <w:t xml:space="preserve"> que finalice el </w:t>
      </w:r>
      <w:r>
        <w:rPr>
          <w:rFonts w:ascii="Times New Roman" w:hAnsi="Times New Roman"/>
          <w:sz w:val="22"/>
          <w:highlight w:val="lightGray"/>
        </w:rPr>
        <w:t>plazo de presentación de las ofertas. Después de esta fecha no se ofrecerán más aclaraciones. Todos los costes ocasionados por la asistencia a la reunión corren a cargo de los licitadores.</w:t>
      </w:r>
    </w:p>
    <w:p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rPr>
      </w:pPr>
      <w:r>
        <w:rPr>
          <w:rFonts w:ascii="Times New Roman" w:hAnsi="Times New Roman"/>
          <w:sz w:val="22"/>
          <w:highlight w:val="lightGray"/>
        </w:rPr>
        <w:t>Aparte de esta visita sobre el terreno para los licitadores potenciales, no podrán organizarse visitas de licitadores individuales durante el procedimiento de licitación.</w:t>
      </w:r>
    </w:p>
    <w:p w:rsidR="0047783A" w:rsidRPr="00E82463" w:rsidRDefault="0047783A" w:rsidP="00710F13">
      <w:pPr>
        <w:pStyle w:val="Heading1"/>
      </w:pPr>
      <w:bookmarkStart w:id="23" w:name="_Toc42488084"/>
      <w:r>
        <w:t>Modificación o retirada de las ofertas</w:t>
      </w:r>
      <w:bookmarkEnd w:id="23"/>
    </w:p>
    <w:p w:rsidR="0047783A" w:rsidRPr="00E82463" w:rsidRDefault="0047783A" w:rsidP="0047783A">
      <w:pPr>
        <w:pStyle w:val="Heading2"/>
        <w:keepLines/>
        <w:ind w:left="567" w:hanging="567"/>
        <w:jc w:val="both"/>
        <w:rPr>
          <w:rFonts w:ascii="Times New Roman" w:hAnsi="Times New Roman"/>
        </w:rPr>
      </w:pPr>
      <w:r>
        <w:rPr>
          <w:rFonts w:ascii="Times New Roman" w:hAnsi="Times New Roman"/>
          <w:sz w:val="22"/>
        </w:rPr>
        <w:t>15.1</w:t>
      </w:r>
      <w:r>
        <w:tab/>
      </w:r>
      <w:r>
        <w:rPr>
          <w:rFonts w:ascii="Times New Roman" w:hAnsi="Times New Roman"/>
          <w:sz w:val="22"/>
        </w:rPr>
        <w:t xml:space="preserve">Los licitadores pueden modificar o retirar sus ofertas mediante notificación escrita antes de que venza el plazo de presentación de ofertas mencionado en </w:t>
      </w:r>
      <w:r w:rsidR="00AC1FFD">
        <w:rPr>
          <w:rFonts w:ascii="Times New Roman" w:hAnsi="Times New Roman"/>
          <w:sz w:val="22"/>
        </w:rPr>
        <w:t>la cláusula</w:t>
      </w:r>
      <w:r>
        <w:rPr>
          <w:rFonts w:ascii="Times New Roman" w:hAnsi="Times New Roman"/>
          <w:sz w:val="22"/>
        </w:rPr>
        <w:t xml:space="preserve"> 10.1. </w:t>
      </w:r>
      <w:r w:rsidR="0057754C">
        <w:rPr>
          <w:rFonts w:ascii="Times New Roman" w:hAnsi="Times New Roman"/>
          <w:sz w:val="22"/>
        </w:rPr>
        <w:t xml:space="preserve">Transcurrido </w:t>
      </w:r>
      <w:r>
        <w:rPr>
          <w:rFonts w:ascii="Times New Roman" w:hAnsi="Times New Roman"/>
          <w:sz w:val="22"/>
        </w:rPr>
        <w:t>este plazo no se podrán modificar las ofertas. La retirada de ofertas será incondicional y pondrá fin a la participación en la licitación.</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15.2</w:t>
      </w:r>
      <w:r>
        <w:tab/>
      </w:r>
      <w:r>
        <w:rPr>
          <w:rFonts w:ascii="Times New Roman" w:hAnsi="Times New Roman"/>
          <w:sz w:val="22"/>
        </w:rPr>
        <w:t xml:space="preserve">Las notificaciones de modificación o retirada deberán prepararse y presentarse con arreglo a lo dispuesto en </w:t>
      </w:r>
      <w:r w:rsidR="00AC1FFD">
        <w:rPr>
          <w:rFonts w:ascii="Times New Roman" w:hAnsi="Times New Roman"/>
          <w:sz w:val="22"/>
        </w:rPr>
        <w:t>la cláusula</w:t>
      </w:r>
      <w:r>
        <w:rPr>
          <w:rFonts w:ascii="Times New Roman" w:hAnsi="Times New Roman"/>
          <w:sz w:val="22"/>
        </w:rPr>
        <w:t xml:space="preserve"> 10. El sobre exterior debe llevar la mención «Modificación» o «Retirada», según proceda.</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15.3</w:t>
      </w:r>
      <w:r>
        <w:tab/>
      </w:r>
      <w:r>
        <w:rPr>
          <w:rFonts w:ascii="Times New Roman" w:hAnsi="Times New Roman"/>
          <w:sz w:val="22"/>
        </w:rPr>
        <w:t xml:space="preserve">No puede retirarse ninguna oferta en el </w:t>
      </w:r>
      <w:r w:rsidR="00CD7BFB">
        <w:rPr>
          <w:rFonts w:ascii="Times New Roman" w:hAnsi="Times New Roman"/>
          <w:sz w:val="22"/>
        </w:rPr>
        <w:t>período</w:t>
      </w:r>
      <w:r>
        <w:rPr>
          <w:rFonts w:ascii="Times New Roman" w:hAnsi="Times New Roman"/>
          <w:sz w:val="22"/>
        </w:rPr>
        <w:t xml:space="preserve"> comprendido entre el final del plazo de presentación de ofertas, mencionado en la cláusula 10.1, y el vencimiento del plazo de validez de las ofertas. La retirada de una oferta durante este </w:t>
      </w:r>
      <w:r w:rsidR="00CD7BFB">
        <w:rPr>
          <w:rFonts w:ascii="Times New Roman" w:hAnsi="Times New Roman"/>
          <w:sz w:val="22"/>
        </w:rPr>
        <w:t>período</w:t>
      </w:r>
      <w:r>
        <w:rPr>
          <w:rFonts w:ascii="Times New Roman" w:hAnsi="Times New Roman"/>
          <w:sz w:val="22"/>
        </w:rPr>
        <w:t xml:space="preserve"> puede tener como resultado la pérdida de la garantía de licitación.</w:t>
      </w:r>
    </w:p>
    <w:p w:rsidR="0047783A" w:rsidRPr="00E82463" w:rsidRDefault="0047783A" w:rsidP="00710F13">
      <w:pPr>
        <w:pStyle w:val="Heading1"/>
      </w:pPr>
      <w:bookmarkStart w:id="24" w:name="_Toc42488085"/>
      <w:r>
        <w:t>Costes de preparación de las ofertas</w:t>
      </w:r>
      <w:bookmarkEnd w:id="24"/>
    </w:p>
    <w:p w:rsidR="0047783A" w:rsidRPr="00E82463" w:rsidRDefault="0047783A" w:rsidP="0047783A">
      <w:pPr>
        <w:tabs>
          <w:tab w:val="left" w:pos="567"/>
        </w:tabs>
        <w:ind w:left="567"/>
        <w:jc w:val="both"/>
        <w:rPr>
          <w:rFonts w:ascii="Times New Roman" w:hAnsi="Times New Roman"/>
          <w:sz w:val="22"/>
        </w:rPr>
      </w:pPr>
      <w:r>
        <w:rPr>
          <w:rFonts w:ascii="Times New Roman" w:hAnsi="Times New Roman"/>
          <w:sz w:val="22"/>
        </w:rPr>
        <w:t>Los costes en que incurra el licitador para la preparación y la presentación de su oferta no serán reembolsables. Todos estos gastos correrán a cargo del licitador.</w:t>
      </w:r>
    </w:p>
    <w:p w:rsidR="0047783A" w:rsidRPr="00E82463" w:rsidRDefault="0047783A" w:rsidP="00710F13">
      <w:pPr>
        <w:pStyle w:val="Heading1"/>
      </w:pPr>
      <w:bookmarkStart w:id="25" w:name="_Toc42488086"/>
      <w:r>
        <w:t>Propiedad de las ofertas</w:t>
      </w:r>
      <w:bookmarkEnd w:id="25"/>
    </w:p>
    <w:p w:rsidR="0047783A" w:rsidRPr="00E82463" w:rsidRDefault="0047783A" w:rsidP="0047783A">
      <w:pPr>
        <w:ind w:left="567"/>
        <w:jc w:val="both"/>
        <w:rPr>
          <w:rFonts w:ascii="Times New Roman" w:hAnsi="Times New Roman"/>
          <w:sz w:val="22"/>
        </w:rPr>
      </w:pPr>
      <w:r>
        <w:rPr>
          <w:rFonts w:ascii="Times New Roman" w:hAnsi="Times New Roman"/>
          <w:sz w:val="22"/>
        </w:rPr>
        <w:t>Todas las ofertas recibidas en virtud de esta licitación pasan a ser propiedad del Órgano de Contratación. Por consiguiente, los licitadores no tienen derecho a la devolución de sus ofertas.</w:t>
      </w:r>
    </w:p>
    <w:p w:rsidR="0047783A" w:rsidRPr="00E82463" w:rsidRDefault="0047783A" w:rsidP="00710F13">
      <w:pPr>
        <w:pStyle w:val="Heading1"/>
      </w:pPr>
      <w:bookmarkStart w:id="26" w:name="_Toc42488087"/>
      <w:r>
        <w:t>Asociación de empresas o consorcio</w:t>
      </w:r>
      <w:bookmarkEnd w:id="26"/>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18.1</w:t>
      </w:r>
      <w:r>
        <w:tab/>
      </w:r>
      <w:r>
        <w:rPr>
          <w:rFonts w:ascii="Times New Roman" w:hAnsi="Times New Roman"/>
          <w:sz w:val="22"/>
        </w:rPr>
        <w:t>Cuando el licitador sea una asociación de empresas o un consorcio de dos o más personas, la oferta debe ser una oferta única con objeto de asegurar un único contrato y todos los miembros de la asociación o el consorcio deben firmar la oferta, quedando todos ellos obligados solidariamente por la oferta y por cualquier contrato resultante de la misma. Deberán designar a uno de ellos para que actúe como persona facultada para comprometer a la asociación de empresas o al consorcio. La composición de la asociación de empresas o del consorcio no podrá modificarse sin el consentimiento previo escrito del Órgano de Contratación.</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18.2</w:t>
      </w:r>
      <w:r>
        <w:tab/>
      </w:r>
      <w:r>
        <w:rPr>
          <w:rFonts w:ascii="Times New Roman" w:hAnsi="Times New Roman"/>
          <w:sz w:val="22"/>
        </w:rPr>
        <w:t xml:space="preserve">La oferta solo puede ser firmada por el representante de la asociación de empresas o del consorcio si los miembros de la asociación de empresas o del consorcio le han dado una autorización expresa y por escrito para ello, debiendo presentarse en tal caso el contrato de autorización o el acta o documento notarial al Órgano de Contratación de acuerdo con el punto 11 de estas </w:t>
      </w:r>
      <w:r w:rsidR="00B46AEA">
        <w:rPr>
          <w:rFonts w:ascii="Times New Roman" w:hAnsi="Times New Roman"/>
          <w:sz w:val="22"/>
        </w:rPr>
        <w:t>I</w:t>
      </w:r>
      <w:r>
        <w:rPr>
          <w:rFonts w:ascii="Times New Roman" w:hAnsi="Times New Roman"/>
          <w:sz w:val="22"/>
        </w:rPr>
        <w:t xml:space="preserve">nstrucciones para los licitadores. Todas las firmas del documento de autorización deben estar certificadas de conformidad con las disposiciones legales y reglamentarias de cada una de las partes que compongan la asociación de empresas o el consorcio, al igual que los poderes de representación que establezcan por escrito que los firmantes de la oferta están facultados para contraer obligaciones en nombre de los otros miembros de la asociación temporal de empresas o del consorcio. Cada miembro de la asociación de empresas o del consorcio debe facilitar la prueba que se exige en </w:t>
      </w:r>
      <w:r w:rsidR="0057754C">
        <w:rPr>
          <w:rFonts w:ascii="Times New Roman" w:hAnsi="Times New Roman"/>
          <w:sz w:val="22"/>
        </w:rPr>
        <w:t>e</w:t>
      </w:r>
      <w:r w:rsidR="00B46AEA">
        <w:rPr>
          <w:rFonts w:ascii="Times New Roman" w:hAnsi="Times New Roman"/>
          <w:sz w:val="22"/>
        </w:rPr>
        <w:t xml:space="preserve">l </w:t>
      </w:r>
      <w:r w:rsidR="0057754C">
        <w:rPr>
          <w:rFonts w:ascii="Times New Roman" w:hAnsi="Times New Roman"/>
          <w:sz w:val="22"/>
        </w:rPr>
        <w:t>apartado </w:t>
      </w:r>
      <w:r>
        <w:rPr>
          <w:rFonts w:ascii="Times New Roman" w:hAnsi="Times New Roman"/>
          <w:sz w:val="22"/>
        </w:rPr>
        <w:t>3.5 como si él mismo fuera el licitador.</w:t>
      </w:r>
    </w:p>
    <w:p w:rsidR="0047783A" w:rsidRPr="00E82463" w:rsidRDefault="0047783A" w:rsidP="00710F13">
      <w:pPr>
        <w:pStyle w:val="Heading1"/>
      </w:pPr>
      <w:bookmarkStart w:id="27" w:name="_Toc42488088"/>
      <w:r>
        <w:t>Apertura de plicas</w:t>
      </w:r>
      <w:bookmarkEnd w:id="27"/>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19.1</w:t>
      </w:r>
      <w:r>
        <w:tab/>
      </w:r>
      <w:r>
        <w:rPr>
          <w:rFonts w:ascii="Times New Roman" w:hAnsi="Times New Roman"/>
          <w:sz w:val="22"/>
        </w:rPr>
        <w:t>La apertura tiene por objeto comprobar si</w:t>
      </w:r>
      <w:r w:rsidR="00B70469">
        <w:rPr>
          <w:rFonts w:ascii="Times New Roman" w:hAnsi="Times New Roman"/>
          <w:sz w:val="22"/>
        </w:rPr>
        <w:t xml:space="preserve"> las ofertas</w:t>
      </w:r>
      <w:r>
        <w:rPr>
          <w:rFonts w:ascii="Times New Roman" w:hAnsi="Times New Roman"/>
          <w:sz w:val="22"/>
        </w:rPr>
        <w:t xml:space="preserve"> están completas, si se han incluido las garantías de licitación exigidas y los documentos necesarios y si las ofertas cumplen de manera general los requisitos del expediente de licitación.</w:t>
      </w:r>
    </w:p>
    <w:p w:rsidR="00B70469" w:rsidRDefault="0047783A" w:rsidP="00B70469">
      <w:pPr>
        <w:pStyle w:val="Heading2"/>
        <w:keepNext w:val="0"/>
        <w:ind w:left="567" w:hanging="567"/>
        <w:jc w:val="both"/>
        <w:rPr>
          <w:rFonts w:ascii="Times New Roman" w:hAnsi="Times New Roman"/>
          <w:sz w:val="22"/>
        </w:rPr>
      </w:pPr>
      <w:r>
        <w:rPr>
          <w:rFonts w:ascii="Times New Roman" w:hAnsi="Times New Roman"/>
          <w:sz w:val="22"/>
        </w:rPr>
        <w:t>19.2</w:t>
      </w:r>
      <w:r>
        <w:tab/>
      </w:r>
      <w:r>
        <w:rPr>
          <w:rFonts w:ascii="Times New Roman" w:hAnsi="Times New Roman"/>
          <w:sz w:val="22"/>
        </w:rPr>
        <w:t>Las ofertas se abrirán en sesión pública el &lt;</w:t>
      </w:r>
      <w:r>
        <w:rPr>
          <w:rFonts w:ascii="Times New Roman" w:hAnsi="Times New Roman"/>
          <w:sz w:val="22"/>
          <w:highlight w:val="yellow"/>
        </w:rPr>
        <w:t>fecha y hora local</w:t>
      </w:r>
      <w:r>
        <w:rPr>
          <w:rFonts w:ascii="Times New Roman" w:hAnsi="Times New Roman"/>
          <w:sz w:val="22"/>
        </w:rPr>
        <w:t>&gt; en &lt;</w:t>
      </w:r>
      <w:r>
        <w:rPr>
          <w:rFonts w:ascii="Times New Roman" w:hAnsi="Times New Roman"/>
          <w:sz w:val="22"/>
          <w:highlight w:val="yellow"/>
        </w:rPr>
        <w:t>dirección</w:t>
      </w:r>
      <w:r>
        <w:rPr>
          <w:rFonts w:ascii="Times New Roman" w:hAnsi="Times New Roman"/>
          <w:sz w:val="22"/>
        </w:rPr>
        <w:t xml:space="preserve">&gt; por el </w:t>
      </w:r>
      <w:r w:rsidR="001B46B2">
        <w:rPr>
          <w:rFonts w:ascii="Times New Roman" w:hAnsi="Times New Roman"/>
          <w:sz w:val="22"/>
        </w:rPr>
        <w:t>C</w:t>
      </w:r>
      <w:r>
        <w:rPr>
          <w:rFonts w:ascii="Times New Roman" w:hAnsi="Times New Roman"/>
          <w:sz w:val="22"/>
        </w:rPr>
        <w:t xml:space="preserve">omité nombrado. El </w:t>
      </w:r>
      <w:r w:rsidR="001B46B2">
        <w:rPr>
          <w:rFonts w:ascii="Times New Roman" w:hAnsi="Times New Roman"/>
          <w:sz w:val="22"/>
        </w:rPr>
        <w:t>C</w:t>
      </w:r>
      <w:r>
        <w:rPr>
          <w:rFonts w:ascii="Times New Roman" w:hAnsi="Times New Roman"/>
          <w:sz w:val="22"/>
        </w:rPr>
        <w:t>omité levantará acta de la reunión, que estará disponible previa solicitud.</w:t>
      </w:r>
    </w:p>
    <w:p w:rsidR="00B70469" w:rsidRPr="007019C1" w:rsidRDefault="00EB6207" w:rsidP="00B70469">
      <w:pPr>
        <w:pStyle w:val="Heading2"/>
        <w:keepNext w:val="0"/>
        <w:ind w:left="567"/>
        <w:jc w:val="both"/>
        <w:rPr>
          <w:rFonts w:ascii="Times New Roman" w:hAnsi="Times New Roman"/>
          <w:sz w:val="22"/>
        </w:rPr>
      </w:pPr>
      <w:r w:rsidRPr="00EB6207">
        <w:rPr>
          <w:rFonts w:ascii="Times New Roman" w:hAnsi="Times New Roman"/>
          <w:sz w:val="22"/>
          <w:szCs w:val="22"/>
        </w:rPr>
        <w:t>En caso de que, en la fecha de la sesión de apertura, no se hayan entregado algunas ofertas al Órgano de Contratación pero sus representantes puedan demostrar que han sido enviados a tiempo, el Órgano de Contratación les permitirá participar en la primera sesión inaugural e informará a todos los representantes de los licitadores de que se organizará una segunda sesión inaugural.</w:t>
      </w:r>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19.3</w:t>
      </w:r>
      <w:r>
        <w:tab/>
      </w:r>
      <w:r>
        <w:rPr>
          <w:rFonts w:ascii="Times New Roman" w:hAnsi="Times New Roman"/>
          <w:sz w:val="22"/>
        </w:rPr>
        <w:t xml:space="preserve">En la sesión de apertura de </w:t>
      </w:r>
      <w:r w:rsidR="00526134">
        <w:rPr>
          <w:rFonts w:ascii="Times New Roman" w:hAnsi="Times New Roman"/>
          <w:sz w:val="22"/>
        </w:rPr>
        <w:t>plicas</w:t>
      </w:r>
      <w:r>
        <w:rPr>
          <w:rFonts w:ascii="Times New Roman" w:hAnsi="Times New Roman"/>
          <w:sz w:val="22"/>
        </w:rPr>
        <w:t xml:space="preserve"> deberán anunciarse los nombres de los licitadores, los precios de las ofertas, los descuentos ofrecidos, las notificaciones escritas de alteración y de retirada, la existencia de la garantía de licitación requerida (si procede) y cualesquiera otros pormenores que el Órgano de Contratación considere conveniente comunicar.</w:t>
      </w:r>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19.4</w:t>
      </w:r>
      <w:r>
        <w:tab/>
      </w:r>
      <w:r>
        <w:rPr>
          <w:rFonts w:ascii="Times New Roman" w:hAnsi="Times New Roman"/>
          <w:sz w:val="22"/>
        </w:rPr>
        <w:t xml:space="preserve">Tras la apertura pública de las </w:t>
      </w:r>
      <w:r w:rsidR="00B047C3">
        <w:rPr>
          <w:rFonts w:ascii="Times New Roman" w:hAnsi="Times New Roman"/>
          <w:sz w:val="22"/>
        </w:rPr>
        <w:t>plicas</w:t>
      </w:r>
      <w:r>
        <w:rPr>
          <w:rFonts w:ascii="Times New Roman" w:hAnsi="Times New Roman"/>
          <w:sz w:val="22"/>
        </w:rPr>
        <w:t xml:space="preserve"> no podrá revelarse hasta la adjudicación del contrato ningún dato relativo al análisis, a la aclaración, a la evaluación o a la comparación de las ofertas, ni recomendación alguna relativa a la adjudicación del contrato.</w:t>
      </w:r>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19.5</w:t>
      </w:r>
      <w:r>
        <w:tab/>
      </w:r>
      <w:r>
        <w:rPr>
          <w:rFonts w:ascii="Times New Roman" w:hAnsi="Times New Roman"/>
          <w:sz w:val="22"/>
        </w:rPr>
        <w:t>Cualquier intento por parte de un licitador de influir en el Comité de Evaluación durante el examen, la aclaración, la evaluación y la comparación de las ofertas, de obtener información acerca del desarrollo del procedimiento o de influir en la decisión del Órgano de Contratación relativa a la adjudicación del contrato tendrá como consecuencia la inmediata desestimación de su oferta.</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19.6</w:t>
      </w:r>
      <w:r>
        <w:tab/>
      </w:r>
      <w:r>
        <w:rPr>
          <w:rFonts w:ascii="Times New Roman" w:hAnsi="Times New Roman"/>
          <w:sz w:val="22"/>
        </w:rPr>
        <w:t xml:space="preserve">El Órgano de Contratación conservará todas las ofertas recibidas </w:t>
      </w:r>
      <w:r w:rsidR="00AA3993">
        <w:rPr>
          <w:rFonts w:ascii="Times New Roman" w:hAnsi="Times New Roman"/>
          <w:sz w:val="22"/>
        </w:rPr>
        <w:t xml:space="preserve">hasta la finalización del plazo </w:t>
      </w:r>
      <w:r>
        <w:rPr>
          <w:rFonts w:ascii="Times New Roman" w:hAnsi="Times New Roman"/>
          <w:sz w:val="22"/>
        </w:rPr>
        <w:t>de presentación establecid</w:t>
      </w:r>
      <w:r w:rsidR="00AA3993">
        <w:rPr>
          <w:rFonts w:ascii="Times New Roman" w:hAnsi="Times New Roman"/>
          <w:sz w:val="22"/>
        </w:rPr>
        <w:t>o</w:t>
      </w:r>
      <w:r>
        <w:rPr>
          <w:rFonts w:ascii="Times New Roman" w:hAnsi="Times New Roman"/>
          <w:sz w:val="22"/>
        </w:rPr>
        <w:t xml:space="preserve"> en el anuncio de licitación o en las presentes instrucciones. Las garantías correspondientes se devolverán a los licitadores. No se podrá aceptar ninguna responsabilidad por el retraso en la entrega de las ofertas. Las ofertas presentadas fuera de plazo serán rechazadas y no se evaluarán.</w:t>
      </w:r>
    </w:p>
    <w:p w:rsidR="0047783A" w:rsidRPr="00E82463" w:rsidRDefault="0047783A" w:rsidP="00710F13">
      <w:pPr>
        <w:pStyle w:val="Heading1"/>
      </w:pPr>
      <w:bookmarkStart w:id="28" w:name="_Toc42488089"/>
      <w:r>
        <w:t>Evaluación de las ofertas</w:t>
      </w:r>
      <w:bookmarkEnd w:id="28"/>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20.1</w:t>
      </w:r>
      <w:r>
        <w:tab/>
      </w:r>
      <w:r>
        <w:rPr>
          <w:rFonts w:ascii="Times New Roman" w:hAnsi="Times New Roman"/>
          <w:sz w:val="22"/>
        </w:rPr>
        <w:t>Examen de la conformidad administrativa de las ofertas</w:t>
      </w:r>
    </w:p>
    <w:p w:rsidR="0047783A" w:rsidRPr="00E82463" w:rsidRDefault="0047783A" w:rsidP="0047783A">
      <w:pPr>
        <w:ind w:left="567"/>
        <w:jc w:val="both"/>
        <w:outlineLvl w:val="0"/>
        <w:rPr>
          <w:rFonts w:ascii="Times New Roman" w:hAnsi="Times New Roman"/>
        </w:rPr>
      </w:pPr>
      <w:r>
        <w:rPr>
          <w:rFonts w:ascii="Times New Roman" w:hAnsi="Times New Roman"/>
          <w:sz w:val="22"/>
        </w:rPr>
        <w:t>El objetivo de esta fase es determinar si las ofertas responden en lo esencial a las exigencias del expediente de licitación. Se considera que una oferta es conforme cuando satisface todas las condiciones, procedimientos y especificaciones establecidos en el expediente de licitación sin desviaciones ni restricciones sustanciales.</w:t>
      </w:r>
    </w:p>
    <w:p w:rsidR="0047783A" w:rsidRPr="00E82463" w:rsidRDefault="0047783A" w:rsidP="0047783A">
      <w:pPr>
        <w:ind w:left="567"/>
        <w:jc w:val="both"/>
        <w:outlineLvl w:val="0"/>
        <w:rPr>
          <w:rFonts w:ascii="Times New Roman" w:hAnsi="Times New Roman"/>
        </w:rPr>
      </w:pPr>
      <w:r>
        <w:rPr>
          <w:rFonts w:ascii="Times New Roman" w:hAnsi="Times New Roman"/>
          <w:sz w:val="22"/>
        </w:rPr>
        <w:t>Las desviaciones o restricciones importantes son las que afectan al ámbito, la calidad o la ejecución del contrato, o las que se apartan de manera sustancial del expediente de licitación o limitan los derechos del Órgano de Contratación o las obligaciones del licitador en virtud de la oferta, o distorsionan la competencia con respecto a los licitadores que hayan presentado ofertas conformes. Las decisiones que tengan como efecto declarar no conforme una oferta desde el punto de vista administrativo, deben justificarse debidamente en las actas de evaluación.</w:t>
      </w:r>
    </w:p>
    <w:p w:rsidR="0047783A" w:rsidRPr="00E82463" w:rsidRDefault="0047783A" w:rsidP="0047783A">
      <w:pPr>
        <w:ind w:left="567"/>
        <w:jc w:val="both"/>
        <w:outlineLvl w:val="0"/>
        <w:rPr>
          <w:rFonts w:ascii="Times New Roman" w:hAnsi="Times New Roman"/>
          <w:sz w:val="22"/>
        </w:rPr>
      </w:pPr>
      <w:r>
        <w:rPr>
          <w:rFonts w:ascii="Times New Roman" w:hAnsi="Times New Roman"/>
          <w:sz w:val="22"/>
        </w:rPr>
        <w:t>Si una oferta no es conforme con el expediente de licitación, será rechazada inmediatamente y no podrá obtener más tarde la conformidad mediante correcciones o la supresión de las desviaciones o restricciones.</w:t>
      </w:r>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20.2</w:t>
      </w:r>
      <w:r>
        <w:tab/>
      </w:r>
      <w:r>
        <w:rPr>
          <w:rFonts w:ascii="Times New Roman" w:hAnsi="Times New Roman"/>
          <w:sz w:val="22"/>
        </w:rPr>
        <w:t>Evaluación técnica</w:t>
      </w:r>
    </w:p>
    <w:p w:rsidR="0047783A" w:rsidRPr="00E82463" w:rsidRDefault="0047783A" w:rsidP="00E82463">
      <w:pPr>
        <w:spacing w:before="0"/>
        <w:ind w:left="567"/>
        <w:jc w:val="both"/>
        <w:outlineLvl w:val="0"/>
        <w:rPr>
          <w:rFonts w:ascii="Times New Roman" w:hAnsi="Times New Roman"/>
          <w:sz w:val="22"/>
        </w:rPr>
      </w:pPr>
      <w:bookmarkStart w:id="29" w:name="_Ref500330647"/>
      <w:r>
        <w:rPr>
          <w:rFonts w:ascii="Times New Roman" w:hAnsi="Times New Roman"/>
          <w:sz w:val="22"/>
        </w:rPr>
        <w:t>Una vez efectuado el análisis de las ofertas consideradas conformes desde el punto de vista administrativo, el Comité de Evaluación deberá evaluar la conformidad técnica de cada oferta y clasificará las ofertas en dos categorías: conformes o no conformes técnicamente.</w:t>
      </w:r>
    </w:p>
    <w:p w:rsidR="0047783A" w:rsidRPr="00E82463" w:rsidRDefault="0047783A" w:rsidP="00E82463">
      <w:pPr>
        <w:pStyle w:val="Heading2"/>
        <w:keepNext w:val="0"/>
        <w:spacing w:before="0"/>
        <w:ind w:left="567"/>
        <w:jc w:val="both"/>
        <w:rPr>
          <w:rFonts w:ascii="Times New Roman" w:hAnsi="Times New Roman"/>
          <w:sz w:val="22"/>
          <w:szCs w:val="22"/>
        </w:rPr>
      </w:pPr>
      <w:r>
        <w:rPr>
          <w:rFonts w:ascii="Times New Roman" w:hAnsi="Times New Roman"/>
          <w:sz w:val="22"/>
        </w:rPr>
        <w:t>Las calificaciones mínimas requeridas (véanse los criterios de selección</w:t>
      </w:r>
      <w:r w:rsidR="00D300EE">
        <w:rPr>
          <w:rFonts w:ascii="Times New Roman" w:hAnsi="Times New Roman"/>
          <w:sz w:val="22"/>
        </w:rPr>
        <w:t xml:space="preserve"> en la</w:t>
      </w:r>
      <w:r>
        <w:rPr>
          <w:rFonts w:ascii="Times New Roman" w:hAnsi="Times New Roman"/>
          <w:sz w:val="22"/>
        </w:rPr>
        <w:t xml:space="preserve"> </w:t>
      </w:r>
      <w:r w:rsidR="00D300EE" w:rsidRPr="00D300EE">
        <w:rPr>
          <w:rFonts w:ascii="Times New Roman" w:hAnsi="Times New Roman"/>
          <w:sz w:val="22"/>
        </w:rPr>
        <w:t xml:space="preserve">información adicional sobre el </w:t>
      </w:r>
      <w:r>
        <w:rPr>
          <w:rFonts w:ascii="Times New Roman" w:hAnsi="Times New Roman"/>
          <w:sz w:val="22"/>
        </w:rPr>
        <w:t>del anuncio de contrato) se han de evaluar al comienzo de esta etapa.</w:t>
      </w:r>
    </w:p>
    <w:bookmarkEnd w:id="29"/>
    <w:p w:rsidR="0047783A" w:rsidRPr="00E82463" w:rsidRDefault="0047783A" w:rsidP="00E82463">
      <w:pPr>
        <w:spacing w:before="0"/>
        <w:ind w:left="567"/>
        <w:jc w:val="both"/>
        <w:outlineLvl w:val="0"/>
        <w:rPr>
          <w:rFonts w:ascii="Times New Roman" w:hAnsi="Times New Roman"/>
          <w:sz w:val="22"/>
        </w:rPr>
      </w:pPr>
      <w:r>
        <w:rPr>
          <w:rFonts w:ascii="Times New Roman" w:hAnsi="Times New Roman"/>
          <w:sz w:val="22"/>
        </w:rPr>
        <w:t>En los casos de contratos que incluyan servicios posventa o de formación, al efectuar el análisis técnico de las ofertas se podrá evaluar también la calidad técnica de esos servicios usando el criterio sí/no tal como se especifica en el expediente de licitación.</w:t>
      </w:r>
    </w:p>
    <w:p w:rsidR="0047783A" w:rsidRPr="00E82463" w:rsidRDefault="0047783A" w:rsidP="0047783A">
      <w:pPr>
        <w:pStyle w:val="Heading2"/>
        <w:ind w:left="567" w:hanging="567"/>
        <w:jc w:val="both"/>
        <w:rPr>
          <w:rFonts w:ascii="Times New Roman" w:hAnsi="Times New Roman"/>
        </w:rPr>
      </w:pPr>
      <w:r>
        <w:rPr>
          <w:rFonts w:ascii="Times New Roman" w:hAnsi="Times New Roman"/>
          <w:sz w:val="22"/>
        </w:rPr>
        <w:t>20.3</w:t>
      </w:r>
      <w:r>
        <w:tab/>
      </w:r>
      <w:r>
        <w:rPr>
          <w:rFonts w:ascii="Times New Roman" w:hAnsi="Times New Roman"/>
          <w:sz w:val="22"/>
        </w:rPr>
        <w:t>En aras de la transparencia y la igualdad de trato, y a fin de facilitar el examen y la evaluación de las ofertas, el Comité de Evaluación podrá solicitar a cada licitador aclaraciones relativas a su oferta incluido el desglose de los precios unitarios, en un plazo razonable que será fijado por el Comité de Evaluación. La solicitud de aclaración y la respuesta se formularán por escrito, pero no se podrá pretender, ofrecer ni admitir cambio alguno en el precio o en el contenido de la oferta, salvo los que sean necesarios para confirmar la corrección de errores aritméticos descubiertos durante la evaluación de las ofertas en aplicación de la cláusula 20.4. Ninguna solicitud de aclaración deberá falsear la competencia. Las decisiones que tengan como efecto declarar no conforme una oferta deben justificarse debidamente en las actas de evaluación.</w:t>
      </w:r>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20.4</w:t>
      </w:r>
      <w:r>
        <w:tab/>
      </w:r>
      <w:r>
        <w:rPr>
          <w:rFonts w:ascii="Times New Roman" w:hAnsi="Times New Roman"/>
          <w:sz w:val="22"/>
        </w:rPr>
        <w:t>Evaluación financiera</w:t>
      </w:r>
    </w:p>
    <w:p w:rsidR="0047783A" w:rsidRPr="00E82463"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a)</w:t>
      </w:r>
      <w:r>
        <w:tab/>
      </w:r>
      <w:r>
        <w:rPr>
          <w:rFonts w:ascii="Times New Roman" w:hAnsi="Times New Roman"/>
          <w:sz w:val="22"/>
        </w:rPr>
        <w:t>Deberá comprobarse la posible existencia de errores aritméticos en los cálculos y en los totales de las ofertas que se hayan considerado técnicamente conformes. El Comité de Evaluación corregirá dichos errores de la manera siguiente:</w:t>
      </w:r>
    </w:p>
    <w:p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tab/>
      </w:r>
      <w:r>
        <w:rPr>
          <w:rFonts w:ascii="Times New Roman" w:hAnsi="Times New Roman"/>
          <w:sz w:val="22"/>
        </w:rPr>
        <w:t>cuando exista una discrepancia entre las cantidades expresadas en cifras y las expresadas en letras, prevalecerán estas últimas;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tab/>
      </w:r>
      <w:r>
        <w:rPr>
          <w:rFonts w:ascii="Times New Roman" w:hAnsi="Times New Roman"/>
          <w:sz w:val="22"/>
        </w:rPr>
        <w:t>excepto en el caso de contratos a tanto alzado, cuando haya una discrepancia entre el precio unitario y el precio total resultante de la multiplicación del precio unitario por la cantidad de unidades, prevalecerá el precio unitario indicado.</w:t>
      </w:r>
    </w:p>
    <w:p w:rsidR="0047783A"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b)</w:t>
      </w:r>
      <w:r>
        <w:tab/>
      </w:r>
      <w:r>
        <w:rPr>
          <w:rFonts w:ascii="Times New Roman" w:hAnsi="Times New Roman"/>
          <w:sz w:val="22"/>
        </w:rPr>
        <w:t>Los importes resultantes de esta corrección serán vinculantes para el licitador. En caso de que el licitador no los acepte, su oferta será rechazada.</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A menos que se especifique otra cosa, el objetivo del procedimiento de evaluación financiera es identificar al licitador que ofrezca el precio más bajo. Si se señala en las especificaciones técnicas, la evaluación de las ofertas podrá tener en cuenta, no solo los costes de adquisición, sino, en la medida en que proceda, los costes asumidos a lo largo del ciclo de vida de los suministros (como, por ejemplo, los costes de mantenimiento y los costes de explotación), de acuerdo con las especificaciones técnicas. En tal caso, el Órgano de Contratación examinará detalladamente toda la información facilitada por los licitadores y formulará su opinión sobre la base del coste total más bajo, incluidos los costes adicionales.</w:t>
      </w:r>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20.5</w:t>
      </w:r>
      <w:r>
        <w:tab/>
      </w:r>
      <w:r w:rsidR="00F6260B">
        <w:rPr>
          <w:rFonts w:ascii="Times New Roman" w:hAnsi="Times New Roman"/>
          <w:sz w:val="22"/>
        </w:rPr>
        <w:t>Variantes</w:t>
      </w:r>
    </w:p>
    <w:p w:rsidR="0047783A" w:rsidRPr="00E82463" w:rsidRDefault="0047783A" w:rsidP="007019C1">
      <w:pPr>
        <w:ind w:left="567"/>
        <w:jc w:val="both"/>
      </w:pPr>
      <w:r w:rsidRPr="007019C1">
        <w:rPr>
          <w:rFonts w:ascii="Times New Roman" w:hAnsi="Times New Roman"/>
          <w:sz w:val="22"/>
        </w:rPr>
        <w:t xml:space="preserve">Las </w:t>
      </w:r>
      <w:r w:rsidR="00F6260B" w:rsidRPr="007019C1">
        <w:rPr>
          <w:rFonts w:ascii="Times New Roman" w:hAnsi="Times New Roman"/>
          <w:sz w:val="22"/>
        </w:rPr>
        <w:t>variantes</w:t>
      </w:r>
      <w:r w:rsidRPr="007019C1">
        <w:rPr>
          <w:rFonts w:ascii="Times New Roman" w:hAnsi="Times New Roman"/>
          <w:sz w:val="22"/>
        </w:rPr>
        <w:t xml:space="preserve"> no serán tenidas en cuenta.</w:t>
      </w:r>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20.6</w:t>
      </w:r>
      <w:r>
        <w:tab/>
      </w:r>
      <w:r>
        <w:rPr>
          <w:rFonts w:ascii="Times New Roman" w:hAnsi="Times New Roman"/>
          <w:sz w:val="22"/>
        </w:rPr>
        <w:t>Criterios de adjudicación</w:t>
      </w:r>
    </w:p>
    <w:p w:rsidR="0047783A" w:rsidRPr="00E82463" w:rsidRDefault="0047783A" w:rsidP="0047783A">
      <w:pPr>
        <w:ind w:left="567" w:firstLine="11"/>
        <w:jc w:val="both"/>
        <w:outlineLvl w:val="0"/>
        <w:rPr>
          <w:rFonts w:ascii="Times New Roman" w:hAnsi="Times New Roman"/>
        </w:rPr>
      </w:pPr>
      <w:r>
        <w:rPr>
          <w:rFonts w:ascii="Times New Roman" w:hAnsi="Times New Roman"/>
          <w:sz w:val="22"/>
          <w:highlight w:val="yellow"/>
        </w:rPr>
        <w:t xml:space="preserve">A utilizar en todos los casos salvo cuando un contrato de suministro incluya servicios auxiliares especialmente significativos (véase más adelante y </w:t>
      </w:r>
      <w:r w:rsidR="00AA3993">
        <w:rPr>
          <w:rFonts w:ascii="Times New Roman" w:hAnsi="Times New Roman"/>
          <w:sz w:val="22"/>
          <w:highlight w:val="yellow"/>
        </w:rPr>
        <w:t xml:space="preserve">el apartado </w:t>
      </w:r>
      <w:r>
        <w:rPr>
          <w:rFonts w:ascii="Times New Roman" w:hAnsi="Times New Roman"/>
          <w:sz w:val="22"/>
          <w:highlight w:val="yellow"/>
        </w:rPr>
        <w:t xml:space="preserve">4.3.3 de la Guía Práctica): </w:t>
      </w:r>
      <w:r>
        <w:rPr>
          <w:rFonts w:ascii="Times New Roman" w:hAnsi="Times New Roman"/>
          <w:sz w:val="22"/>
          <w:highlight w:val="lightGray"/>
        </w:rPr>
        <w:t>[El único criterio de adjudicación será el precio. El contrato se adjudicará a la oferta conforme que ofrezca el precio más bajo.]</w:t>
      </w:r>
    </w:p>
    <w:p w:rsidR="0047783A" w:rsidRPr="00E82463" w:rsidRDefault="0047783A" w:rsidP="0047783A">
      <w:pPr>
        <w:ind w:left="567" w:firstLine="11"/>
        <w:jc w:val="both"/>
        <w:outlineLvl w:val="0"/>
        <w:rPr>
          <w:rFonts w:ascii="Times New Roman" w:hAnsi="Times New Roman"/>
          <w:sz w:val="22"/>
        </w:rPr>
      </w:pPr>
      <w:r>
        <w:rPr>
          <w:rFonts w:ascii="Times New Roman" w:hAnsi="Times New Roman"/>
          <w:sz w:val="22"/>
        </w:rPr>
        <w:t>[</w:t>
      </w:r>
      <w:r>
        <w:rPr>
          <w:rFonts w:ascii="Times New Roman" w:hAnsi="Times New Roman"/>
          <w:sz w:val="22"/>
          <w:highlight w:val="yellow"/>
        </w:rPr>
        <w:t xml:space="preserve">En casos excepcionales de contratos de suministro que incluyan servicios auxiliares especialmente significativos (como servicios posventa o formación): </w:t>
      </w:r>
      <w:r>
        <w:rPr>
          <w:rFonts w:ascii="Times New Roman" w:hAnsi="Times New Roman"/>
          <w:sz w:val="22"/>
          <w:highlight w:val="lightGray"/>
        </w:rPr>
        <w:t>Se elegirá la oferta conforme que ofrezca la mejor relación calidad/precio</w:t>
      </w:r>
      <w:r>
        <w:rPr>
          <w:rFonts w:ascii="Times New Roman" w:hAnsi="Times New Roman"/>
          <w:sz w:val="22"/>
          <w:highlight w:val="yellow"/>
        </w:rPr>
        <w:t>.]</w:t>
      </w:r>
    </w:p>
    <w:p w:rsidR="0047783A" w:rsidRPr="00E82463" w:rsidRDefault="0047783A" w:rsidP="005F6B3B">
      <w:pPr>
        <w:ind w:left="567"/>
        <w:jc w:val="both"/>
        <w:rPr>
          <w:rFonts w:ascii="Times New Roman" w:hAnsi="Times New Roman"/>
          <w:sz w:val="22"/>
          <w:szCs w:val="22"/>
        </w:rPr>
      </w:pPr>
      <w:r>
        <w:rPr>
          <w:rFonts w:ascii="Times New Roman" w:hAnsi="Times New Roman"/>
          <w:sz w:val="22"/>
        </w:rPr>
        <w:t>[</w:t>
      </w:r>
      <w:r>
        <w:rPr>
          <w:rFonts w:ascii="Times New Roman" w:hAnsi="Times New Roman"/>
          <w:sz w:val="22"/>
          <w:highlight w:val="yellow"/>
        </w:rPr>
        <w:t>Solo para el FED:</w:t>
      </w:r>
      <w:r>
        <w:rPr>
          <w:rFonts w:ascii="Times New Roman" w:hAnsi="Times New Roman"/>
          <w:sz w:val="22"/>
        </w:rPr>
        <w:t xml:space="preserve"> </w:t>
      </w:r>
      <w:r>
        <w:rPr>
          <w:rFonts w:ascii="Times New Roman" w:hAnsi="Times New Roman"/>
          <w:sz w:val="22"/>
          <w:highlight w:val="lightGray"/>
        </w:rPr>
        <w:t xml:space="preserve">Cuando las ofertas tengan una calidad económica y técnica equivalente, se dará preferencia a las de mayor participación de los estados ACP. Véase además </w:t>
      </w:r>
      <w:r w:rsidR="00AA3993">
        <w:rPr>
          <w:rFonts w:ascii="Times New Roman" w:hAnsi="Times New Roman"/>
          <w:sz w:val="22"/>
          <w:highlight w:val="lightGray"/>
        </w:rPr>
        <w:t xml:space="preserve">el apartado </w:t>
      </w:r>
      <w:r>
        <w:rPr>
          <w:rFonts w:ascii="Times New Roman" w:hAnsi="Times New Roman"/>
          <w:sz w:val="22"/>
          <w:highlight w:val="lightGray"/>
        </w:rPr>
        <w:t>2.</w:t>
      </w:r>
      <w:r w:rsidR="005F6B3B">
        <w:rPr>
          <w:rFonts w:ascii="Times New Roman" w:hAnsi="Times New Roman"/>
          <w:sz w:val="22"/>
          <w:highlight w:val="lightGray"/>
        </w:rPr>
        <w:t>6</w:t>
      </w:r>
      <w:r>
        <w:rPr>
          <w:rFonts w:ascii="Times New Roman" w:hAnsi="Times New Roman"/>
          <w:sz w:val="22"/>
          <w:highlight w:val="lightGray"/>
        </w:rPr>
        <w:t>.</w:t>
      </w:r>
      <w:r w:rsidR="005F6B3B">
        <w:rPr>
          <w:rFonts w:ascii="Times New Roman" w:hAnsi="Times New Roman"/>
          <w:sz w:val="22"/>
          <w:highlight w:val="lightGray"/>
        </w:rPr>
        <w:t>9</w:t>
      </w:r>
      <w:r>
        <w:rPr>
          <w:rFonts w:ascii="Times New Roman" w:hAnsi="Times New Roman"/>
          <w:sz w:val="22"/>
          <w:highlight w:val="lightGray"/>
        </w:rPr>
        <w:t xml:space="preserve"> de la Guía Práctica</w:t>
      </w:r>
      <w:r>
        <w:rPr>
          <w:rFonts w:ascii="Times New Roman" w:hAnsi="Times New Roman"/>
          <w:sz w:val="22"/>
        </w:rPr>
        <w:t>.]</w:t>
      </w:r>
    </w:p>
    <w:p w:rsidR="0047783A" w:rsidRDefault="005F6B3B" w:rsidP="00710F13">
      <w:pPr>
        <w:pStyle w:val="Heading1"/>
      </w:pPr>
      <w:bookmarkStart w:id="30" w:name="_Ref500418776"/>
      <w:r>
        <w:t>Notifica</w:t>
      </w:r>
      <w:r w:rsidR="0057754C">
        <w:t>c</w:t>
      </w:r>
      <w:r>
        <w:t>i</w:t>
      </w:r>
      <w:r w:rsidR="0057754C">
        <w:t>ó</w:t>
      </w:r>
      <w:r>
        <w:t xml:space="preserve">n </w:t>
      </w:r>
      <w:r w:rsidR="0057754C">
        <w:t>de la decisión de adjudicación</w:t>
      </w:r>
    </w:p>
    <w:p w:rsidR="005F6B3B" w:rsidRPr="0057754C" w:rsidRDefault="0057754C" w:rsidP="005F6B3B">
      <w:pPr>
        <w:ind w:left="567" w:firstLine="11"/>
        <w:jc w:val="both"/>
        <w:outlineLvl w:val="0"/>
        <w:rPr>
          <w:rFonts w:ascii="Times New Roman" w:hAnsi="Times New Roman"/>
          <w:sz w:val="22"/>
          <w:szCs w:val="22"/>
          <w:lang w:val="es-ES_tradnl"/>
        </w:rPr>
      </w:pPr>
      <w:r w:rsidRPr="0057754C">
        <w:rPr>
          <w:rFonts w:ascii="Times New Roman" w:hAnsi="Times New Roman"/>
          <w:sz w:val="22"/>
          <w:szCs w:val="22"/>
          <w:lang w:val="es-ES_tradnl"/>
        </w:rPr>
        <w:t xml:space="preserve">El </w:t>
      </w:r>
      <w:r w:rsidR="000C7B15">
        <w:rPr>
          <w:rFonts w:ascii="Times New Roman" w:hAnsi="Times New Roman"/>
          <w:sz w:val="22"/>
          <w:szCs w:val="22"/>
          <w:lang w:val="es-ES_tradnl"/>
        </w:rPr>
        <w:t>Ó</w:t>
      </w:r>
      <w:r w:rsidRPr="0057754C">
        <w:rPr>
          <w:rFonts w:ascii="Times New Roman" w:hAnsi="Times New Roman"/>
          <w:sz w:val="22"/>
          <w:szCs w:val="22"/>
          <w:lang w:val="es-ES_tradnl"/>
        </w:rPr>
        <w:t xml:space="preserve">rgano de </w:t>
      </w:r>
      <w:r w:rsidR="000C7B15">
        <w:rPr>
          <w:rFonts w:ascii="Times New Roman" w:hAnsi="Times New Roman"/>
          <w:sz w:val="22"/>
          <w:szCs w:val="22"/>
          <w:lang w:val="es-ES_tradnl"/>
        </w:rPr>
        <w:t>C</w:t>
      </w:r>
      <w:r w:rsidRPr="0057754C">
        <w:rPr>
          <w:rFonts w:ascii="Times New Roman" w:hAnsi="Times New Roman"/>
          <w:sz w:val="22"/>
          <w:szCs w:val="22"/>
          <w:lang w:val="es-ES_tradnl"/>
        </w:rPr>
        <w:t>ontratación informará a todos los licitadores simult</w:t>
      </w:r>
      <w:r w:rsidR="000C7B15">
        <w:rPr>
          <w:rFonts w:ascii="Times New Roman" w:hAnsi="Times New Roman"/>
          <w:sz w:val="22"/>
          <w:szCs w:val="22"/>
          <w:lang w:val="es-ES_tradnl"/>
        </w:rPr>
        <w:t>á</w:t>
      </w:r>
      <w:r w:rsidRPr="0057754C">
        <w:rPr>
          <w:rFonts w:ascii="Times New Roman" w:hAnsi="Times New Roman"/>
          <w:sz w:val="22"/>
          <w:szCs w:val="22"/>
          <w:lang w:val="es-ES_tradnl"/>
        </w:rPr>
        <w:t>ne</w:t>
      </w:r>
      <w:r w:rsidR="000C7B15">
        <w:rPr>
          <w:rFonts w:ascii="Times New Roman" w:hAnsi="Times New Roman"/>
          <w:sz w:val="22"/>
          <w:szCs w:val="22"/>
          <w:lang w:val="es-ES_tradnl"/>
        </w:rPr>
        <w:t>a e</w:t>
      </w:r>
      <w:r w:rsidRPr="0057754C">
        <w:rPr>
          <w:rFonts w:ascii="Times New Roman" w:hAnsi="Times New Roman"/>
          <w:sz w:val="22"/>
          <w:szCs w:val="22"/>
          <w:lang w:val="es-ES_tradnl"/>
        </w:rPr>
        <w:t xml:space="preserve"> individualmente de la decisión de adjudicación. La garantía de licitación de los licitadores no seleccionados se </w:t>
      </w:r>
      <w:r w:rsidR="000C7B15">
        <w:rPr>
          <w:rFonts w:ascii="Times New Roman" w:hAnsi="Times New Roman"/>
          <w:sz w:val="22"/>
          <w:szCs w:val="22"/>
          <w:lang w:val="es-ES_tradnl"/>
        </w:rPr>
        <w:t xml:space="preserve">liberará </w:t>
      </w:r>
      <w:r w:rsidRPr="0057754C">
        <w:rPr>
          <w:rFonts w:ascii="Times New Roman" w:hAnsi="Times New Roman"/>
          <w:sz w:val="22"/>
          <w:szCs w:val="22"/>
          <w:lang w:val="es-ES_tradnl"/>
        </w:rPr>
        <w:t>una vez firmado el contrato</w:t>
      </w:r>
      <w:r w:rsidR="005F6B3B" w:rsidRPr="0057754C">
        <w:rPr>
          <w:rFonts w:ascii="Times New Roman" w:hAnsi="Times New Roman"/>
          <w:sz w:val="22"/>
          <w:szCs w:val="22"/>
          <w:lang w:val="es-ES_tradnl"/>
        </w:rPr>
        <w:t>.</w:t>
      </w:r>
    </w:p>
    <w:p w:rsidR="005F6B3B" w:rsidRPr="005F6B3B" w:rsidRDefault="005F6B3B" w:rsidP="00710F13">
      <w:pPr>
        <w:pStyle w:val="Heading1"/>
      </w:pPr>
      <w:r>
        <w:t>Firma del contrato y garantía de ejecución</w:t>
      </w:r>
    </w:p>
    <w:p w:rsidR="0047783A" w:rsidRPr="000A7CF7" w:rsidRDefault="0047783A" w:rsidP="00D331DB">
      <w:pPr>
        <w:ind w:left="567" w:hanging="567"/>
        <w:jc w:val="both"/>
        <w:rPr>
          <w:rFonts w:ascii="Times New Roman" w:hAnsi="Times New Roman"/>
          <w:sz w:val="22"/>
          <w:szCs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.1</w:t>
      </w:r>
      <w:r>
        <w:tab/>
      </w:r>
      <w:r w:rsidRPr="000A7CF7">
        <w:rPr>
          <w:rFonts w:ascii="Times New Roman" w:hAnsi="Times New Roman"/>
          <w:sz w:val="22"/>
        </w:rPr>
        <w:t xml:space="preserve">El adjudicatario será informado por escrito de que su oferta ha sido seleccionada (notificación de la adjudicación del contrato). </w:t>
      </w:r>
      <w:r w:rsidR="000A7CF7" w:rsidRPr="000A7CF7">
        <w:rPr>
          <w:rFonts w:ascii="Times New Roman" w:hAnsi="Times New Roman"/>
          <w:sz w:val="22"/>
        </w:rPr>
        <w:t xml:space="preserve">A petición </w:t>
      </w:r>
      <w:r w:rsidR="00D331DB" w:rsidRPr="000A7CF7">
        <w:rPr>
          <w:rFonts w:ascii="Times New Roman" w:hAnsi="Times New Roman"/>
          <w:sz w:val="22"/>
        </w:rPr>
        <w:t>del Órgano de Contratación y a</w:t>
      </w:r>
      <w:r w:rsidRPr="000A7CF7">
        <w:rPr>
          <w:rFonts w:ascii="Times New Roman" w:hAnsi="Times New Roman"/>
          <w:sz w:val="22"/>
        </w:rPr>
        <w:t>ntes de la firma del contrato entre el Órgano de contratación y el licitador, este último debe presentar l</w:t>
      </w:r>
      <w:r w:rsidR="007E7B65" w:rsidRPr="000A7CF7">
        <w:rPr>
          <w:rFonts w:ascii="Times New Roman" w:hAnsi="Times New Roman"/>
          <w:sz w:val="22"/>
        </w:rPr>
        <w:t>a</w:t>
      </w:r>
      <w:r w:rsidRPr="000A7CF7">
        <w:rPr>
          <w:rFonts w:ascii="Times New Roman" w:hAnsi="Times New Roman"/>
          <w:sz w:val="22"/>
        </w:rPr>
        <w:t xml:space="preserve">s </w:t>
      </w:r>
      <w:r w:rsidR="007E7B65" w:rsidRPr="000A7CF7">
        <w:rPr>
          <w:rFonts w:ascii="Times New Roman" w:hAnsi="Times New Roman"/>
          <w:b/>
          <w:sz w:val="22"/>
        </w:rPr>
        <w:t>pruebas documentales</w:t>
      </w:r>
      <w:r w:rsidRPr="000A7CF7">
        <w:rPr>
          <w:rFonts w:ascii="Times New Roman" w:hAnsi="Times New Roman"/>
          <w:sz w:val="22"/>
        </w:rPr>
        <w:t xml:space="preserve"> o declaraciones exigidos por la legislación del país en el que la sociedad (o cada una de las sociedades en caso de consorcio) esté establecida de manera efectiva, como prueba de que no se halla en ninguna de las situaciones previstas en </w:t>
      </w:r>
      <w:r w:rsidR="00AA3993" w:rsidRPr="000A7CF7">
        <w:rPr>
          <w:rFonts w:ascii="Times New Roman" w:hAnsi="Times New Roman"/>
          <w:sz w:val="22"/>
        </w:rPr>
        <w:t xml:space="preserve">el apartado </w:t>
      </w:r>
      <w:r w:rsidRPr="000A7CF7">
        <w:rPr>
          <w:rFonts w:ascii="Times New Roman" w:hAnsi="Times New Roman"/>
          <w:sz w:val="22"/>
        </w:rPr>
        <w:t>2.</w:t>
      </w:r>
      <w:r w:rsidR="00D331DB" w:rsidRPr="000A7CF7">
        <w:rPr>
          <w:rFonts w:ascii="Times New Roman" w:hAnsi="Times New Roman"/>
          <w:sz w:val="22"/>
        </w:rPr>
        <w:t>6.10</w:t>
      </w:r>
      <w:r w:rsidRPr="000A7CF7">
        <w:rPr>
          <w:rFonts w:ascii="Times New Roman" w:hAnsi="Times New Roman"/>
          <w:sz w:val="22"/>
        </w:rPr>
        <w:t xml:space="preserve"> de la Guía Práctica. La fecha de estas pruebas, declaraciones o documentos no puede ser anterior en más de un año a la fecha de presentación de la oferta. Además el adjudicatario debe presentar una declaración en la que indique que su situación no ha </w:t>
      </w:r>
      <w:r w:rsidRPr="000A7CF7">
        <w:rPr>
          <w:rFonts w:ascii="Times New Roman" w:hAnsi="Times New Roman"/>
          <w:sz w:val="22"/>
          <w:szCs w:val="22"/>
        </w:rPr>
        <w:t>cambiado después del establecimiento de las pruebas.</w:t>
      </w:r>
    </w:p>
    <w:p w:rsidR="00D331DB" w:rsidRPr="000A7CF7" w:rsidRDefault="00E9043F" w:rsidP="00D331DB">
      <w:pPr>
        <w:ind w:left="567"/>
        <w:jc w:val="both"/>
        <w:rPr>
          <w:rFonts w:ascii="Times New Roman" w:hAnsi="Times New Roman"/>
          <w:sz w:val="22"/>
          <w:szCs w:val="22"/>
          <w:lang w:val="es-ES_tradnl"/>
        </w:rPr>
      </w:pPr>
      <w:r>
        <w:rPr>
          <w:rFonts w:ascii="Times New Roman" w:hAnsi="Times New Roman"/>
          <w:sz w:val="22"/>
        </w:rPr>
        <w:t>En el caso de los contratos por un importe inferior a 300 000 EUR, el Órgano de Contratación, en función de su propia evaluación de los riesgos, podrá renunciar a exigir documentación acreditativa del cumplimiento de los criterios de selección</w:t>
      </w:r>
      <w:r w:rsidR="00D331DB" w:rsidRPr="000A7CF7">
        <w:rPr>
          <w:rFonts w:ascii="Times New Roman" w:hAnsi="Times New Roman"/>
          <w:sz w:val="22"/>
          <w:szCs w:val="22"/>
          <w:lang w:val="es-ES_tradnl"/>
        </w:rPr>
        <w:t>.</w:t>
      </w:r>
    </w:p>
    <w:p w:rsidR="0047783A" w:rsidRDefault="0047783A" w:rsidP="00D331DB">
      <w:pPr>
        <w:pStyle w:val="Heading2"/>
        <w:keepNext w:val="0"/>
        <w:ind w:left="567" w:hanging="567"/>
        <w:jc w:val="both"/>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.2</w:t>
      </w:r>
      <w:r>
        <w:tab/>
      </w:r>
      <w:r>
        <w:rPr>
          <w:rFonts w:ascii="Times New Roman" w:hAnsi="Times New Roman"/>
          <w:sz w:val="22"/>
        </w:rPr>
        <w:t xml:space="preserve">El adjudicatario deberá también presentar prueba de su capacidad financiera y económica, así como de su capacidad técnica y profesional con arreglo a los criterios de selección de esta licitación tal como se especifica en </w:t>
      </w:r>
      <w:r w:rsidR="00D300EE">
        <w:rPr>
          <w:rFonts w:ascii="Times New Roman" w:hAnsi="Times New Roman"/>
          <w:sz w:val="22"/>
        </w:rPr>
        <w:t xml:space="preserve">la </w:t>
      </w:r>
      <w:r w:rsidR="00D300EE" w:rsidRPr="00D300EE">
        <w:rPr>
          <w:rFonts w:ascii="Times New Roman" w:hAnsi="Times New Roman"/>
          <w:sz w:val="22"/>
        </w:rPr>
        <w:t xml:space="preserve">información adicional sobre el </w:t>
      </w:r>
      <w:r>
        <w:rPr>
          <w:rFonts w:ascii="Times New Roman" w:hAnsi="Times New Roman"/>
          <w:sz w:val="22"/>
        </w:rPr>
        <w:t>anuncio de contrato. Las pruebas documentales exigidas se enumeran en el apartado 2.</w:t>
      </w:r>
      <w:r w:rsidR="000A7CF7">
        <w:rPr>
          <w:rFonts w:ascii="Times New Roman" w:hAnsi="Times New Roman"/>
          <w:sz w:val="22"/>
        </w:rPr>
        <w:t>6</w:t>
      </w:r>
      <w:r>
        <w:rPr>
          <w:rFonts w:ascii="Times New Roman" w:hAnsi="Times New Roman"/>
          <w:sz w:val="22"/>
        </w:rPr>
        <w:t>.11 de la Guía Práctica.</w:t>
      </w:r>
    </w:p>
    <w:p w:rsidR="000A7CF7" w:rsidRPr="000A7CF7" w:rsidRDefault="000A7CF7" w:rsidP="000A7CF7">
      <w:pPr>
        <w:ind w:left="567"/>
        <w:jc w:val="both"/>
        <w:rPr>
          <w:lang w:val="es-ES_tradnl"/>
        </w:rPr>
      </w:pPr>
      <w:r w:rsidRPr="000A7CF7">
        <w:rPr>
          <w:rFonts w:ascii="Times New Roman" w:hAnsi="Times New Roman"/>
          <w:sz w:val="22"/>
          <w:szCs w:val="22"/>
          <w:lang w:val="es-ES_tradnl"/>
        </w:rPr>
        <w:t xml:space="preserve">El </w:t>
      </w:r>
      <w:r>
        <w:rPr>
          <w:rFonts w:ascii="Times New Roman" w:hAnsi="Times New Roman"/>
          <w:sz w:val="22"/>
          <w:szCs w:val="22"/>
          <w:lang w:val="es-ES_tradnl"/>
        </w:rPr>
        <w:t>Ó</w:t>
      </w:r>
      <w:r w:rsidRPr="000A7CF7">
        <w:rPr>
          <w:rFonts w:ascii="Times New Roman" w:hAnsi="Times New Roman"/>
          <w:sz w:val="22"/>
          <w:szCs w:val="22"/>
          <w:lang w:val="es-ES_tradnl"/>
        </w:rPr>
        <w:t xml:space="preserve">rgano de </w:t>
      </w:r>
      <w:r>
        <w:rPr>
          <w:rFonts w:ascii="Times New Roman" w:hAnsi="Times New Roman"/>
          <w:sz w:val="22"/>
          <w:szCs w:val="22"/>
          <w:lang w:val="es-ES_tradnl"/>
        </w:rPr>
        <w:t>C</w:t>
      </w:r>
      <w:r w:rsidRPr="000A7CF7">
        <w:rPr>
          <w:rFonts w:ascii="Times New Roman" w:hAnsi="Times New Roman"/>
          <w:sz w:val="22"/>
          <w:szCs w:val="22"/>
          <w:lang w:val="es-ES_tradnl"/>
        </w:rPr>
        <w:t xml:space="preserve">ontratación podrá decidir, en función de su evaluación de riesgos, no exigir </w:t>
      </w:r>
      <w:r>
        <w:rPr>
          <w:rFonts w:ascii="Times New Roman" w:hAnsi="Times New Roman"/>
          <w:sz w:val="22"/>
          <w:szCs w:val="22"/>
          <w:lang w:val="es-ES_tradnl"/>
        </w:rPr>
        <w:t xml:space="preserve">pruebas sobre </w:t>
      </w:r>
      <w:r w:rsidRPr="000A7CF7">
        <w:rPr>
          <w:rFonts w:ascii="Times New Roman" w:hAnsi="Times New Roman"/>
          <w:sz w:val="22"/>
          <w:szCs w:val="22"/>
          <w:lang w:val="es-ES_tradnl"/>
        </w:rPr>
        <w:t>la capacidad financiera y económica y la capacidad técnica y profesional.</w:t>
      </w:r>
    </w:p>
    <w:p w:rsidR="0047783A" w:rsidRDefault="0047783A" w:rsidP="00D331DB">
      <w:pPr>
        <w:pStyle w:val="Heading2"/>
        <w:keepNext w:val="0"/>
        <w:ind w:left="567" w:hanging="567"/>
        <w:jc w:val="both"/>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.3</w:t>
      </w:r>
      <w:r>
        <w:tab/>
      </w:r>
      <w:r>
        <w:rPr>
          <w:rFonts w:ascii="Times New Roman" w:hAnsi="Times New Roman"/>
          <w:sz w:val="22"/>
        </w:rPr>
        <w:t>Si el adjudicatario no presenta estas pruebas documentales o declaraciones en el plazo de 15 días naturales a partir de la notificación de la adjudicación del contrato o se comprueba que ha facilitado informaciones falsas, la adjudicación del contrato se considera nula. En este caso, el Órgano de Contratación puede adjudicar el contrato al licitador que haya presentado la siguiente oferta económica más baja o anular el procedimiento de licitación.</w:t>
      </w:r>
    </w:p>
    <w:p w:rsidR="00654F04" w:rsidRPr="00654F04" w:rsidRDefault="00654F04" w:rsidP="00654F04">
      <w:pPr>
        <w:ind w:left="567"/>
        <w:jc w:val="both"/>
        <w:rPr>
          <w:rFonts w:ascii="Times New Roman" w:hAnsi="Times New Roman"/>
          <w:sz w:val="22"/>
          <w:szCs w:val="22"/>
        </w:rPr>
      </w:pPr>
      <w:r>
        <w:rPr>
          <w:rFonts w:ascii="Times New Roman" w:hAnsi="Times New Roman"/>
          <w:color w:val="000000"/>
          <w:sz w:val="22"/>
        </w:rPr>
        <w:t>El Órgano de Contratación puede eximir de la obligación que tiene cualquier candidato o licitador de presentar la prueba documental mencionada anteriormente si ya le ha sido presentada tal prueba a efectos de otro procedimiento de licitación y siempre que la fecha de expedición de los documentos no tenga una antigüedad superior a un año y estos sigan siendo válidos. En tal caso, el candidato o licitador deberá realizar una declaración jurada de que la prueba documental ya ha sido facilitada en un procedimiento de licitación anterior y de que no se ha producido cambio alguno en su situación.</w:t>
      </w:r>
    </w:p>
    <w:p w:rsidR="00394E9F" w:rsidRPr="00A4424B" w:rsidRDefault="00394E9F" w:rsidP="00654F04">
      <w:pPr>
        <w:ind w:left="567"/>
        <w:jc w:val="both"/>
        <w:rPr>
          <w:rFonts w:ascii="Times New Roman" w:hAnsi="Times New Roman"/>
          <w:color w:val="000000"/>
          <w:sz w:val="22"/>
          <w:szCs w:val="22"/>
          <w:highlight w:val="yellow"/>
        </w:rPr>
      </w:pPr>
      <w:r>
        <w:rPr>
          <w:rFonts w:ascii="Times New Roman" w:hAnsi="Times New Roman"/>
          <w:color w:val="000000"/>
          <w:sz w:val="22"/>
          <w:highlight w:val="yellow"/>
        </w:rPr>
        <w:t>[Para contratos cuya cuantía máxima sea de 300 000</w:t>
      </w:r>
      <w:r w:rsidR="007E7B65">
        <w:rPr>
          <w:rFonts w:ascii="Times New Roman" w:hAnsi="Times New Roman"/>
          <w:color w:val="000000"/>
          <w:sz w:val="22"/>
          <w:highlight w:val="yellow"/>
        </w:rPr>
        <w:t> </w:t>
      </w:r>
      <w:r>
        <w:rPr>
          <w:rFonts w:ascii="Times New Roman" w:hAnsi="Times New Roman"/>
          <w:color w:val="000000"/>
          <w:sz w:val="22"/>
          <w:highlight w:val="yellow"/>
        </w:rPr>
        <w:t xml:space="preserve">EUR: </w:t>
      </w:r>
    </w:p>
    <w:p w:rsidR="00654F04" w:rsidRPr="00654F04" w:rsidRDefault="00654F04" w:rsidP="00654F04">
      <w:pPr>
        <w:ind w:left="567"/>
        <w:jc w:val="both"/>
        <w:rPr>
          <w:rFonts w:ascii="Times New Roman" w:hAnsi="Times New Roman"/>
          <w:color w:val="000000"/>
          <w:sz w:val="22"/>
          <w:szCs w:val="22"/>
        </w:rPr>
      </w:pPr>
      <w:r>
        <w:rPr>
          <w:rFonts w:ascii="Times New Roman" w:hAnsi="Times New Roman"/>
          <w:color w:val="000000"/>
          <w:sz w:val="22"/>
        </w:rPr>
        <w:t>[</w:t>
      </w:r>
      <w:r>
        <w:rPr>
          <w:rFonts w:ascii="Times New Roman" w:hAnsi="Times New Roman"/>
          <w:color w:val="000000"/>
          <w:sz w:val="22"/>
          <w:highlight w:val="yellow"/>
        </w:rPr>
        <w:t>Opción 1:</w:t>
      </w:r>
      <w:r>
        <w:rPr>
          <w:rFonts w:ascii="Times New Roman" w:hAnsi="Times New Roman"/>
          <w:color w:val="000000"/>
          <w:sz w:val="22"/>
        </w:rPr>
        <w:t xml:space="preserve"> </w:t>
      </w:r>
      <w:r>
        <w:rPr>
          <w:rFonts w:ascii="Times New Roman" w:hAnsi="Times New Roman"/>
          <w:color w:val="000000"/>
          <w:sz w:val="22"/>
          <w:highlight w:val="lightGray"/>
        </w:rPr>
        <w:t xml:space="preserve">Se presentará prueba documental de la capacidad económica y financiera o de la capacidad técnica y profesional, conforme a los criterios de selección especificados en </w:t>
      </w:r>
      <w:r w:rsidR="00D300EE">
        <w:rPr>
          <w:rFonts w:ascii="Times New Roman" w:hAnsi="Times New Roman"/>
          <w:color w:val="000000"/>
          <w:sz w:val="22"/>
          <w:highlight w:val="lightGray"/>
        </w:rPr>
        <w:t xml:space="preserve">la </w:t>
      </w:r>
      <w:r w:rsidR="00D300EE" w:rsidRPr="00D300EE">
        <w:rPr>
          <w:rFonts w:ascii="Times New Roman" w:hAnsi="Times New Roman"/>
          <w:color w:val="000000"/>
          <w:sz w:val="22"/>
          <w:highlight w:val="lightGray"/>
        </w:rPr>
        <w:t xml:space="preserve">información adicional sobre el </w:t>
      </w:r>
      <w:r>
        <w:rPr>
          <w:rFonts w:ascii="Times New Roman" w:hAnsi="Times New Roman"/>
          <w:color w:val="000000"/>
          <w:sz w:val="22"/>
          <w:highlight w:val="lightGray"/>
        </w:rPr>
        <w:t>anuncio de</w:t>
      </w:r>
      <w:r w:rsidR="00B14A88">
        <w:rPr>
          <w:rFonts w:ascii="Times New Roman" w:hAnsi="Times New Roman"/>
          <w:color w:val="000000"/>
          <w:sz w:val="22"/>
          <w:highlight w:val="lightGray"/>
        </w:rPr>
        <w:t xml:space="preserve"> contrato</w:t>
      </w:r>
      <w:r>
        <w:rPr>
          <w:rFonts w:ascii="Times New Roman" w:hAnsi="Times New Roman"/>
          <w:color w:val="000000"/>
          <w:sz w:val="22"/>
          <w:highlight w:val="lightGray"/>
        </w:rPr>
        <w:t>. (</w:t>
      </w:r>
      <w:r>
        <w:rPr>
          <w:rFonts w:ascii="Times New Roman" w:hAnsi="Times New Roman"/>
          <w:sz w:val="22"/>
          <w:highlight w:val="lightGray"/>
        </w:rPr>
        <w:t xml:space="preserve">Véase además </w:t>
      </w:r>
      <w:r w:rsidR="00AA3993">
        <w:rPr>
          <w:rFonts w:ascii="Times New Roman" w:hAnsi="Times New Roman"/>
          <w:sz w:val="22"/>
          <w:highlight w:val="lightGray"/>
        </w:rPr>
        <w:t xml:space="preserve">el apartado </w:t>
      </w:r>
      <w:r>
        <w:rPr>
          <w:rFonts w:ascii="Times New Roman" w:hAnsi="Times New Roman"/>
          <w:sz w:val="22"/>
          <w:highlight w:val="lightGray"/>
        </w:rPr>
        <w:t>2.</w:t>
      </w:r>
      <w:r w:rsidR="00D331DB">
        <w:rPr>
          <w:rFonts w:ascii="Times New Roman" w:hAnsi="Times New Roman"/>
          <w:sz w:val="22"/>
          <w:highlight w:val="lightGray"/>
        </w:rPr>
        <w:t>6</w:t>
      </w:r>
      <w:r>
        <w:rPr>
          <w:rFonts w:ascii="Times New Roman" w:hAnsi="Times New Roman"/>
          <w:sz w:val="22"/>
          <w:highlight w:val="lightGray"/>
        </w:rPr>
        <w:t>.11 de la Guía Práctica).]</w:t>
      </w:r>
      <w:r>
        <w:rPr>
          <w:rFonts w:ascii="Times New Roman" w:hAnsi="Times New Roman"/>
          <w:color w:val="000000"/>
          <w:sz w:val="22"/>
        </w:rPr>
        <w:t xml:space="preserve"> </w:t>
      </w:r>
    </w:p>
    <w:p w:rsidR="00654F04" w:rsidRPr="00654F04" w:rsidRDefault="00654F04" w:rsidP="00654F04">
      <w:pPr>
        <w:ind w:left="567" w:firstLine="33"/>
        <w:jc w:val="both"/>
        <w:rPr>
          <w:rFonts w:ascii="Times New Roman" w:hAnsi="Times New Roman"/>
          <w:color w:val="000000"/>
          <w:sz w:val="22"/>
          <w:szCs w:val="22"/>
        </w:rPr>
      </w:pPr>
      <w:r>
        <w:rPr>
          <w:rFonts w:ascii="Times New Roman" w:hAnsi="Times New Roman"/>
          <w:color w:val="000000"/>
          <w:sz w:val="22"/>
        </w:rPr>
        <w:t>[</w:t>
      </w:r>
      <w:r>
        <w:rPr>
          <w:rFonts w:ascii="Times New Roman" w:hAnsi="Times New Roman"/>
          <w:color w:val="000000"/>
          <w:sz w:val="22"/>
          <w:highlight w:val="yellow"/>
        </w:rPr>
        <w:t>Opción 2: El Órgano de Contratación podrá, en función de su evaluación de los riesgos, renunciar a exigir la prueba documental de los criterios de selección, pero en tal caso no se concederá prefinanciación:</w:t>
      </w:r>
      <w:r>
        <w:rPr>
          <w:rFonts w:ascii="Times New Roman" w:hAnsi="Times New Roman"/>
          <w:color w:val="000000"/>
          <w:sz w:val="22"/>
        </w:rPr>
        <w:t xml:space="preserve"> </w:t>
      </w:r>
      <w:r>
        <w:rPr>
          <w:rFonts w:ascii="Times New Roman" w:hAnsi="Times New Roman"/>
          <w:color w:val="000000"/>
          <w:sz w:val="22"/>
          <w:highlight w:val="lightGray"/>
        </w:rPr>
        <w:t>No se presentarán pruebas documentales relativas a los criterios de selección que figuran en</w:t>
      </w:r>
      <w:r w:rsidR="00B14A88">
        <w:rPr>
          <w:rFonts w:ascii="Times New Roman" w:hAnsi="Times New Roman"/>
          <w:color w:val="000000"/>
          <w:sz w:val="22"/>
          <w:highlight w:val="lightGray"/>
        </w:rPr>
        <w:t xml:space="preserve"> </w:t>
      </w:r>
      <w:r w:rsidR="00B14A88" w:rsidRPr="00B14A88">
        <w:rPr>
          <w:rFonts w:ascii="Times New Roman" w:hAnsi="Times New Roman"/>
          <w:color w:val="000000"/>
          <w:sz w:val="22"/>
          <w:highlight w:val="lightGray"/>
        </w:rPr>
        <w:t>la información adicional sobre el anuncio de contrato</w:t>
      </w:r>
      <w:r>
        <w:rPr>
          <w:rFonts w:ascii="Times New Roman" w:hAnsi="Times New Roman"/>
          <w:color w:val="000000"/>
          <w:sz w:val="22"/>
          <w:highlight w:val="lightGray"/>
        </w:rPr>
        <w:t xml:space="preserve">, pero </w:t>
      </w:r>
      <w:r w:rsidR="002D49AD">
        <w:rPr>
          <w:rFonts w:ascii="Times New Roman" w:hAnsi="Times New Roman"/>
          <w:color w:val="000000"/>
          <w:sz w:val="22"/>
          <w:highlight w:val="lightGray"/>
        </w:rPr>
        <w:t xml:space="preserve">en este caso </w:t>
      </w:r>
      <w:r>
        <w:rPr>
          <w:rFonts w:ascii="Times New Roman" w:hAnsi="Times New Roman"/>
          <w:color w:val="000000"/>
          <w:sz w:val="22"/>
          <w:highlight w:val="lightGray"/>
        </w:rPr>
        <w:t>no se concederá prefinanciación</w:t>
      </w:r>
      <w:r w:rsidR="002D49AD">
        <w:rPr>
          <w:rFonts w:ascii="Times New Roman" w:hAnsi="Times New Roman"/>
          <w:color w:val="000000"/>
          <w:sz w:val="22"/>
          <w:highlight w:val="lightGray"/>
        </w:rPr>
        <w:t>, a menos que se proporcione una garantía financiera por</w:t>
      </w:r>
      <w:r w:rsidR="00B41F29">
        <w:rPr>
          <w:rFonts w:ascii="Times New Roman" w:hAnsi="Times New Roman"/>
          <w:color w:val="000000"/>
          <w:sz w:val="22"/>
          <w:highlight w:val="lightGray"/>
        </w:rPr>
        <w:t xml:space="preserve"> el mismo valor que la prefinanciación solicitada</w:t>
      </w:r>
      <w:r>
        <w:rPr>
          <w:rFonts w:ascii="Times New Roman" w:hAnsi="Times New Roman"/>
          <w:color w:val="000000"/>
          <w:sz w:val="22"/>
          <w:highlight w:val="lightGray"/>
        </w:rPr>
        <w:t>.</w:t>
      </w:r>
      <w:r w:rsidR="00132F8A">
        <w:rPr>
          <w:rFonts w:ascii="Times New Roman" w:hAnsi="Times New Roman"/>
          <w:color w:val="000000"/>
          <w:sz w:val="22"/>
        </w:rPr>
        <w:t>]</w:t>
      </w:r>
      <w:r>
        <w:rPr>
          <w:rFonts w:ascii="Times New Roman" w:hAnsi="Times New Roman"/>
          <w:color w:val="000000"/>
          <w:sz w:val="22"/>
        </w:rPr>
        <w:t>]</w:t>
      </w:r>
    </w:p>
    <w:p w:rsidR="00580F0C" w:rsidRPr="00580F0C" w:rsidRDefault="00580F0C" w:rsidP="00654F04">
      <w:pPr>
        <w:ind w:left="567"/>
        <w:jc w:val="both"/>
        <w:rPr>
          <w:rFonts w:ascii="Times New Roman" w:hAnsi="Times New Roman"/>
          <w:sz w:val="22"/>
        </w:rPr>
      </w:pPr>
      <w:r>
        <w:rPr>
          <w:rFonts w:ascii="Times New Roman" w:hAnsi="Times New Roman"/>
          <w:sz w:val="22"/>
        </w:rPr>
        <w:t>Al presentar una oferta, cada licitador acepta recibir notificación de los resultados del procedimiento por medios electrónicos. Dicha notificación se considerará que ha sido recibida en la fecha en que el Órgano de Contratación la envía a la dirección electrónica a que se refiere la oferta.</w:t>
      </w:r>
    </w:p>
    <w:p w:rsidR="0047783A" w:rsidRPr="00E82463" w:rsidRDefault="0047783A" w:rsidP="00D331DB">
      <w:pPr>
        <w:ind w:left="567" w:hanging="567"/>
        <w:jc w:val="both"/>
        <w:outlineLvl w:val="0"/>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.4</w:t>
      </w:r>
      <w:r>
        <w:rPr>
          <w:rFonts w:ascii="Times New Roman" w:hAnsi="Times New Roman"/>
        </w:rPr>
        <w:t xml:space="preserve"> </w:t>
      </w:r>
      <w:r>
        <w:tab/>
      </w:r>
      <w:r>
        <w:rPr>
          <w:rFonts w:ascii="Times New Roman" w:hAnsi="Times New Roman"/>
          <w:sz w:val="22"/>
        </w:rPr>
        <w:t xml:space="preserve">El Órgano de Contratación se reserva el derecho de modificar las cantidades previstas en la licitación en +/- 100 % en el momento de la contratación y durante la validez del contrato. Como consecuencia de la modificación de las cantidades, el valor total de los suministros no podrá aumentar o disminuir en más del 25 % de la oferta financiera original de la licitación. Se utilizarán los precios unitarios que figuren en la licitación. </w:t>
      </w:r>
    </w:p>
    <w:p w:rsidR="0047783A" w:rsidRPr="00E82463" w:rsidRDefault="0047783A" w:rsidP="00D331DB">
      <w:pPr>
        <w:pStyle w:val="Heading2"/>
        <w:keepNext w:val="0"/>
        <w:ind w:left="567" w:hanging="567"/>
        <w:jc w:val="both"/>
        <w:rPr>
          <w:rFonts w:ascii="Times New Roman" w:hAnsi="Times New Roman"/>
        </w:rPr>
      </w:pPr>
      <w:r>
        <w:rPr>
          <w:rFonts w:ascii="Times New Roman" w:hAnsi="Times New Roman"/>
          <w:sz w:val="22"/>
        </w:rPr>
        <w:t>2</w:t>
      </w:r>
      <w:r w:rsidR="00D331DB">
        <w:rPr>
          <w:rFonts w:ascii="Times New Roman" w:hAnsi="Times New Roman"/>
          <w:sz w:val="22"/>
        </w:rPr>
        <w:t>2</w:t>
      </w:r>
      <w:r>
        <w:rPr>
          <w:rFonts w:ascii="Times New Roman" w:hAnsi="Times New Roman"/>
          <w:sz w:val="22"/>
        </w:rPr>
        <w:t>.5</w:t>
      </w:r>
      <w:r>
        <w:tab/>
      </w:r>
      <w:r>
        <w:rPr>
          <w:rFonts w:ascii="Times New Roman" w:hAnsi="Times New Roman"/>
          <w:sz w:val="22"/>
        </w:rPr>
        <w:t>En un plazo de 30 días desde la recepción del contrato ya firmado por el Órgano de Contratación, el adjudicatario debe firmarlo, fecharlo y devolverlo al Órgano de Contratación junto con la garantía de ejecución (si procede esta última). Al firmar el contrato, el adjudicatario pasará a ser el contratista y el contrato entrará en vigor.</w:t>
      </w:r>
    </w:p>
    <w:bookmarkEnd w:id="30"/>
    <w:p w:rsidR="0047783A" w:rsidRPr="00E82463" w:rsidRDefault="0047783A" w:rsidP="00D331DB">
      <w:pPr>
        <w:pStyle w:val="Heading2"/>
        <w:keepNext w:val="0"/>
        <w:ind w:left="567" w:hanging="567"/>
        <w:jc w:val="both"/>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.6</w:t>
      </w:r>
      <w:r>
        <w:tab/>
      </w:r>
      <w:r>
        <w:rPr>
          <w:rFonts w:ascii="Times New Roman" w:hAnsi="Times New Roman"/>
          <w:sz w:val="22"/>
        </w:rPr>
        <w:t xml:space="preserve">Si el </w:t>
      </w:r>
      <w:r w:rsidR="004A5EEE">
        <w:rPr>
          <w:rFonts w:ascii="Times New Roman" w:hAnsi="Times New Roman"/>
          <w:sz w:val="22"/>
        </w:rPr>
        <w:t>adjudicatario</w:t>
      </w:r>
      <w:r>
        <w:rPr>
          <w:rFonts w:ascii="Times New Roman" w:hAnsi="Times New Roman"/>
          <w:sz w:val="22"/>
        </w:rPr>
        <w:t xml:space="preserve"> no firma el contrato ni lo devuelve, junto con las garantías financieras requeridas, en un plazo de 30 días desde la recepción de la notificación, el Órgano de Contratación podrá considerar nula la aceptación de la oferta, sin perjuicio de la retención de la garantía de licitación, de los derechos compensatorios o de los recursos que estén a su disposición derivados de ese incumplimiento y sin posibilidad de reclamación por parte del </w:t>
      </w:r>
      <w:r w:rsidR="004A5EEE">
        <w:rPr>
          <w:rFonts w:ascii="Times New Roman" w:hAnsi="Times New Roman"/>
          <w:sz w:val="22"/>
        </w:rPr>
        <w:t>adjudicatario</w:t>
      </w:r>
      <w:r>
        <w:rPr>
          <w:rFonts w:ascii="Times New Roman" w:hAnsi="Times New Roman"/>
          <w:sz w:val="22"/>
        </w:rPr>
        <w:t>.</w:t>
      </w:r>
    </w:p>
    <w:p w:rsidR="0047783A" w:rsidRPr="00E82463" w:rsidRDefault="0047783A" w:rsidP="00D331DB">
      <w:pPr>
        <w:tabs>
          <w:tab w:val="num" w:pos="709"/>
        </w:tabs>
        <w:ind w:left="567" w:hanging="567"/>
        <w:jc w:val="both"/>
        <w:outlineLvl w:val="0"/>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.7</w:t>
      </w:r>
      <w:r>
        <w:tab/>
      </w:r>
      <w:r>
        <w:rPr>
          <w:rFonts w:ascii="Times New Roman" w:hAnsi="Times New Roman"/>
          <w:sz w:val="22"/>
        </w:rPr>
        <w:t>La garantía de buen fin mencionada en las Condiciones Generales se fija en &lt;</w:t>
      </w:r>
      <w:r>
        <w:rPr>
          <w:rFonts w:ascii="Times New Roman" w:hAnsi="Times New Roman"/>
          <w:sz w:val="22"/>
          <w:highlight w:val="yellow"/>
        </w:rPr>
        <w:t>indicar el porcentaje comprendido entre el 5 % y el 10 % mencionado en</w:t>
      </w:r>
      <w:r w:rsidR="00D300EE">
        <w:rPr>
          <w:rFonts w:ascii="Times New Roman" w:hAnsi="Times New Roman"/>
          <w:sz w:val="22"/>
          <w:highlight w:val="yellow"/>
        </w:rPr>
        <w:t xml:space="preserve"> la </w:t>
      </w:r>
      <w:r w:rsidR="00D300EE" w:rsidRPr="00D300EE">
        <w:rPr>
          <w:rFonts w:ascii="Times New Roman" w:hAnsi="Times New Roman"/>
          <w:sz w:val="22"/>
          <w:highlight w:val="yellow"/>
        </w:rPr>
        <w:t>información adicional sobre el</w:t>
      </w:r>
      <w:r>
        <w:rPr>
          <w:rFonts w:ascii="Times New Roman" w:hAnsi="Times New Roman"/>
          <w:sz w:val="22"/>
          <w:highlight w:val="yellow"/>
        </w:rPr>
        <w:t xml:space="preserve"> anuncio de contrato</w:t>
      </w:r>
      <w:r>
        <w:rPr>
          <w:rFonts w:ascii="Times New Roman" w:hAnsi="Times New Roman"/>
          <w:sz w:val="22"/>
        </w:rPr>
        <w:t xml:space="preserve">&gt; del precio del contrato y debe presentarse con arreglo al modelo que figura anejo al expediente de licitación. La garantía se liberará en un plazo de 45 días a partir de la fecha del certificado de recepción definitiva expedido por el Órgano de Contratación, excepto la proporción asignada para los servicios posventa. </w:t>
      </w:r>
      <w:r>
        <w:rPr>
          <w:rFonts w:ascii="Times New Roman" w:hAnsi="Times New Roman"/>
          <w:sz w:val="22"/>
          <w:highlight w:val="lightGray"/>
        </w:rPr>
        <w:t>Para los contratos de valor igual o inferior a 150 000</w:t>
      </w:r>
      <w:r w:rsidR="007E7B65">
        <w:rPr>
          <w:rFonts w:ascii="Times New Roman" w:hAnsi="Times New Roman"/>
          <w:sz w:val="22"/>
          <w:highlight w:val="lightGray"/>
        </w:rPr>
        <w:t> </w:t>
      </w:r>
      <w:r>
        <w:rPr>
          <w:rFonts w:ascii="Times New Roman" w:hAnsi="Times New Roman"/>
          <w:sz w:val="22"/>
          <w:highlight w:val="lightGray"/>
        </w:rPr>
        <w:t>EUR, el Órgano de Contratación, sobre la base de criterios objetivos como el tipo y el valor del contrato, podrá decidir no exigir tal garantía.</w:t>
      </w:r>
    </w:p>
    <w:p w:rsidR="0047783A" w:rsidRPr="00E82463" w:rsidRDefault="0047783A" w:rsidP="00710F13">
      <w:pPr>
        <w:pStyle w:val="Heading1"/>
      </w:pPr>
      <w:bookmarkStart w:id="31" w:name="_Toc41467299"/>
      <w:bookmarkStart w:id="32" w:name="_Toc42488091"/>
      <w:r>
        <w:t>Garantía de licitación</w:t>
      </w:r>
      <w:bookmarkEnd w:id="31"/>
      <w:bookmarkEnd w:id="32"/>
    </w:p>
    <w:p w:rsidR="00D1398A" w:rsidRPr="00E82463" w:rsidRDefault="000D66C0" w:rsidP="00C07667">
      <w:pPr>
        <w:ind w:left="567"/>
        <w:jc w:val="both"/>
        <w:outlineLvl w:val="0"/>
        <w:rPr>
          <w:rFonts w:ascii="Times New Roman" w:hAnsi="Times New Roman"/>
          <w:sz w:val="22"/>
        </w:rPr>
      </w:pPr>
      <w:r>
        <w:rPr>
          <w:rFonts w:ascii="Times New Roman" w:hAnsi="Times New Roman"/>
          <w:highlight w:val="yellow"/>
        </w:rPr>
        <w:t xml:space="preserve"> </w:t>
      </w:r>
      <w:r>
        <w:rPr>
          <w:rFonts w:ascii="Times New Roman" w:hAnsi="Times New Roman"/>
        </w:rPr>
        <w:t>[</w:t>
      </w:r>
      <w:r>
        <w:rPr>
          <w:rFonts w:ascii="Times New Roman" w:hAnsi="Times New Roman"/>
          <w:sz w:val="22"/>
          <w:highlight w:val="lightGray"/>
        </w:rPr>
        <w:t>La garantía de licitación mencionada en la cláusula 11 queda fijada en</w:t>
      </w:r>
      <w:r>
        <w:rPr>
          <w:rFonts w:ascii="Times New Roman" w:hAnsi="Times New Roman"/>
          <w:sz w:val="22"/>
        </w:rPr>
        <w:t xml:space="preserve"> </w:t>
      </w:r>
      <w:r>
        <w:rPr>
          <w:rFonts w:ascii="Times New Roman" w:hAnsi="Times New Roman"/>
          <w:b/>
          <w:sz w:val="22"/>
        </w:rPr>
        <w:t>&lt;</w:t>
      </w:r>
      <w:r>
        <w:rPr>
          <w:rFonts w:ascii="Times New Roman" w:hAnsi="Times New Roman"/>
          <w:sz w:val="22"/>
          <w:highlight w:val="yellow"/>
          <w:shd w:val="clear" w:color="C0C0C0" w:fill="FFFFFF"/>
        </w:rPr>
        <w:t xml:space="preserve">importe indicado en </w:t>
      </w:r>
      <w:r w:rsidR="00D300EE">
        <w:rPr>
          <w:rFonts w:ascii="Times New Roman" w:hAnsi="Times New Roman"/>
          <w:sz w:val="22"/>
          <w:highlight w:val="yellow"/>
          <w:shd w:val="clear" w:color="C0C0C0" w:fill="FFFFFF"/>
        </w:rPr>
        <w:t xml:space="preserve">la  </w:t>
      </w:r>
      <w:r w:rsidR="00D300EE" w:rsidRPr="00D300EE">
        <w:rPr>
          <w:rFonts w:ascii="Times New Roman" w:hAnsi="Times New Roman"/>
          <w:sz w:val="22"/>
          <w:highlight w:val="yellow"/>
          <w:shd w:val="clear" w:color="C0C0C0" w:fill="FFFFFF"/>
        </w:rPr>
        <w:t xml:space="preserve">información adicional sobre el </w:t>
      </w:r>
      <w:r>
        <w:rPr>
          <w:rFonts w:ascii="Times New Roman" w:hAnsi="Times New Roman"/>
          <w:sz w:val="22"/>
          <w:highlight w:val="yellow"/>
          <w:shd w:val="clear" w:color="C0C0C0" w:fill="FFFFFF"/>
        </w:rPr>
        <w:t xml:space="preserve"> anuncio de contrato</w:t>
      </w:r>
      <w:r>
        <w:rPr>
          <w:rFonts w:ascii="Times New Roman" w:hAnsi="Times New Roman"/>
          <w:b/>
          <w:sz w:val="22"/>
        </w:rPr>
        <w:t>&gt;</w:t>
      </w:r>
      <w:r>
        <w:rPr>
          <w:rFonts w:ascii="Times New Roman" w:hAnsi="Times New Roman"/>
          <w:sz w:val="22"/>
        </w:rPr>
        <w:t xml:space="preserve"> </w:t>
      </w:r>
      <w:r>
        <w:rPr>
          <w:rFonts w:ascii="Times New Roman" w:hAnsi="Times New Roman"/>
          <w:sz w:val="22"/>
          <w:highlight w:val="lightGray"/>
        </w:rPr>
        <w:t xml:space="preserve">y deberá ser presentada según el modelo que figura adjunto al expediente de licitación. Debe seguir siendo válida al menos 45 días más allá del </w:t>
      </w:r>
      <w:r w:rsidR="00CD7BFB">
        <w:rPr>
          <w:rFonts w:ascii="Times New Roman" w:hAnsi="Times New Roman"/>
          <w:sz w:val="22"/>
          <w:highlight w:val="lightGray"/>
        </w:rPr>
        <w:t>período</w:t>
      </w:r>
      <w:r>
        <w:rPr>
          <w:rFonts w:ascii="Times New Roman" w:hAnsi="Times New Roman"/>
          <w:sz w:val="22"/>
          <w:highlight w:val="lightGray"/>
        </w:rPr>
        <w:t xml:space="preserve"> de validez de las ofertas. Las garantías de </w:t>
      </w:r>
      <w:r w:rsidR="007E7B65">
        <w:rPr>
          <w:rFonts w:ascii="Times New Roman" w:hAnsi="Times New Roman"/>
          <w:sz w:val="22"/>
          <w:highlight w:val="lightGray"/>
        </w:rPr>
        <w:t>licitación</w:t>
      </w:r>
      <w:r>
        <w:rPr>
          <w:rFonts w:ascii="Times New Roman" w:hAnsi="Times New Roman"/>
          <w:sz w:val="22"/>
          <w:highlight w:val="lightGray"/>
        </w:rPr>
        <w:t xml:space="preserve"> proporcionadas por los licitadores que no hayan resultado adjudicatarios se devolverán junto con la carta que informa al licitador de que su oferta no ha sido la seleccionada. La garantía de licitación proporcionada por el adjudicatario se liberará en el momento de la firma del contrato, una vez presentada la garantía de buena ejecución</w:t>
      </w:r>
      <w:r>
        <w:rPr>
          <w:rFonts w:ascii="Times New Roman" w:hAnsi="Times New Roman"/>
          <w:sz w:val="22"/>
        </w:rPr>
        <w:t xml:space="preserve">.] </w:t>
      </w:r>
    </w:p>
    <w:p w:rsidR="008718AA" w:rsidRPr="00E82463" w:rsidRDefault="002B7402" w:rsidP="000D66C0">
      <w:pPr>
        <w:ind w:left="567"/>
        <w:jc w:val="both"/>
        <w:outlineLvl w:val="0"/>
        <w:rPr>
          <w:rFonts w:ascii="Times New Roman" w:hAnsi="Times New Roman"/>
          <w:sz w:val="22"/>
        </w:rPr>
      </w:pPr>
      <w:r>
        <w:rPr>
          <w:rFonts w:ascii="Times New Roman" w:hAnsi="Times New Roman"/>
          <w:highlight w:val="yellow"/>
        </w:rPr>
        <w:t>O</w:t>
      </w:r>
      <w:r>
        <w:rPr>
          <w:rFonts w:ascii="Times New Roman" w:hAnsi="Times New Roman"/>
        </w:rPr>
        <w:t>: [</w:t>
      </w:r>
      <w:r>
        <w:rPr>
          <w:rFonts w:ascii="Times New Roman" w:hAnsi="Times New Roman"/>
          <w:sz w:val="22"/>
          <w:highlight w:val="lightGray"/>
        </w:rPr>
        <w:t>No se exige garantía de licitación.</w:t>
      </w:r>
      <w:r>
        <w:rPr>
          <w:rFonts w:ascii="Times New Roman" w:hAnsi="Times New Roman"/>
          <w:highlight w:val="lightGray"/>
        </w:rPr>
        <w:t>]</w:t>
      </w:r>
    </w:p>
    <w:p w:rsidR="0047783A" w:rsidRPr="0078676B" w:rsidRDefault="0047783A" w:rsidP="00710F13">
      <w:pPr>
        <w:pStyle w:val="Heading1"/>
      </w:pPr>
      <w:bookmarkStart w:id="33" w:name="_Toc41467300"/>
      <w:bookmarkStart w:id="34" w:name="_Toc42488092"/>
      <w:r w:rsidRPr="0078676B">
        <w:t>Cláusulas deontológicas</w:t>
      </w:r>
      <w:bookmarkEnd w:id="33"/>
      <w:bookmarkEnd w:id="34"/>
      <w:r w:rsidR="00D331DB" w:rsidRPr="0078676B">
        <w:t xml:space="preserve"> y código de conducta</w:t>
      </w:r>
    </w:p>
    <w:p w:rsidR="002270DE" w:rsidRPr="0078676B" w:rsidRDefault="0047783A" w:rsidP="002270DE">
      <w:pPr>
        <w:pStyle w:val="Heading2"/>
        <w:keepNext w:val="0"/>
        <w:ind w:left="567" w:hanging="567"/>
        <w:jc w:val="both"/>
        <w:rPr>
          <w:rFonts w:asciiTheme="majorBidi" w:hAnsiTheme="majorBidi" w:cstheme="majorBidi"/>
          <w:sz w:val="22"/>
          <w:szCs w:val="22"/>
        </w:rPr>
      </w:pPr>
      <w:r w:rsidRPr="0078676B">
        <w:rPr>
          <w:rFonts w:ascii="Times New Roman" w:hAnsi="Times New Roman"/>
          <w:sz w:val="22"/>
        </w:rPr>
        <w:t>2</w:t>
      </w:r>
      <w:r w:rsidR="002270DE" w:rsidRPr="0078676B">
        <w:rPr>
          <w:rFonts w:ascii="Times New Roman" w:hAnsi="Times New Roman"/>
          <w:sz w:val="22"/>
        </w:rPr>
        <w:t>4</w:t>
      </w:r>
      <w:r w:rsidRPr="0078676B">
        <w:rPr>
          <w:rFonts w:ascii="Times New Roman" w:hAnsi="Times New Roman"/>
          <w:sz w:val="22"/>
        </w:rPr>
        <w:t>.1</w:t>
      </w:r>
      <w:r w:rsidRPr="0078676B">
        <w:tab/>
      </w:r>
      <w:r w:rsidR="002270DE" w:rsidRPr="0078676B">
        <w:rPr>
          <w:rFonts w:asciiTheme="majorBidi" w:hAnsiTheme="majorBidi" w:cstheme="majorBidi"/>
          <w:sz w:val="22"/>
          <w:szCs w:val="22"/>
        </w:rPr>
        <w:t>Ausencia de conflicto de intereses</w:t>
      </w:r>
    </w:p>
    <w:p w:rsidR="0047783A" w:rsidRPr="0078676B" w:rsidRDefault="00E9043F" w:rsidP="007E2B61">
      <w:pPr>
        <w:pStyle w:val="Heading2"/>
        <w:keepNext w:val="0"/>
        <w:ind w:left="567"/>
        <w:jc w:val="both"/>
        <w:rPr>
          <w:rFonts w:ascii="Times New Roman" w:hAnsi="Times New Roman"/>
          <w:sz w:val="22"/>
        </w:rPr>
      </w:pPr>
      <w:r>
        <w:rPr>
          <w:rFonts w:ascii="Times New Roman" w:hAnsi="Times New Roman"/>
          <w:sz w:val="22"/>
        </w:rPr>
        <w:t>El licitador no deberá verse afectado por ningún conflicto de intereses y no deberá tener ningún tipo de relación equivalente al respecto con otros licitadores o partes implicadas en el proyecto. Toda tentativa de un licitador de obtener información confidencial, realizar acuerdos ilícitos con sus competidores o influir sobre el Comité de Evaluación o sobre el Órgano de Contratación a lo largo del procedimiento de examen, aclaración, evaluación y comparación de las ofertas acarreará la exclusión de su oferta y podrá dar lugar a la imposición de sanciones administrativas de conformidad con el Reglamento Financiero en vigor</w:t>
      </w:r>
      <w:r w:rsidR="0047783A" w:rsidRPr="0078676B">
        <w:rPr>
          <w:rFonts w:ascii="Times New Roman" w:hAnsi="Times New Roman"/>
          <w:sz w:val="22"/>
        </w:rPr>
        <w:t>.</w:t>
      </w:r>
    </w:p>
    <w:p w:rsidR="00625361" w:rsidRPr="0078676B" w:rsidRDefault="00625361" w:rsidP="00625361">
      <w:pPr>
        <w:pStyle w:val="Heading2"/>
        <w:keepNext w:val="0"/>
        <w:ind w:left="567" w:hanging="567"/>
        <w:jc w:val="both"/>
        <w:rPr>
          <w:rFonts w:ascii="Times New Roman" w:hAnsi="Times New Roman"/>
          <w:sz w:val="22"/>
          <w:szCs w:val="22"/>
          <w:lang w:val="es-ES_tradnl"/>
        </w:rPr>
      </w:pPr>
      <w:r w:rsidRPr="0078676B">
        <w:rPr>
          <w:rFonts w:ascii="Times New Roman" w:hAnsi="Times New Roman"/>
          <w:sz w:val="22"/>
          <w:lang w:val="es-ES_tradnl"/>
        </w:rPr>
        <w:t>24.2</w:t>
      </w:r>
      <w:r w:rsidRPr="0078676B">
        <w:rPr>
          <w:lang w:val="es-ES_tradnl"/>
        </w:rPr>
        <w:tab/>
      </w:r>
      <w:r w:rsidR="0078676B" w:rsidRPr="0078676B">
        <w:rPr>
          <w:rFonts w:ascii="Times New Roman" w:hAnsi="Times New Roman"/>
          <w:sz w:val="22"/>
          <w:szCs w:val="22"/>
          <w:lang w:val="es-ES_tradnl"/>
        </w:rPr>
        <w:t>Respeto de los derechos humanos, así como de la legislación medioambiental y las normas laborales fundamentales</w:t>
      </w:r>
    </w:p>
    <w:p w:rsidR="0047783A" w:rsidRPr="0078676B" w:rsidRDefault="00E9043F" w:rsidP="0078676B">
      <w:pPr>
        <w:ind w:left="567"/>
        <w:jc w:val="both"/>
        <w:rPr>
          <w:rFonts w:ascii="Times New Roman" w:hAnsi="Times New Roman"/>
          <w:sz w:val="22"/>
        </w:rPr>
      </w:pPr>
      <w:r>
        <w:rPr>
          <w:rFonts w:ascii="Times New Roman" w:hAnsi="Times New Roman"/>
          <w:sz w:val="22"/>
        </w:rPr>
        <w:t>El licitador y su personal deberán respetar los derechos humanos</w:t>
      </w:r>
      <w:r w:rsidR="00FC7EC5">
        <w:rPr>
          <w:rFonts w:ascii="Times New Roman" w:hAnsi="Times New Roman"/>
          <w:sz w:val="22"/>
        </w:rPr>
        <w:t xml:space="preserve"> </w:t>
      </w:r>
      <w:r w:rsidR="00FC7EC5" w:rsidRPr="00FC7EC5">
        <w:rPr>
          <w:rFonts w:ascii="Times New Roman" w:hAnsi="Times New Roman"/>
          <w:sz w:val="22"/>
        </w:rPr>
        <w:t>y las normas aplicables en materia de protección de datos</w:t>
      </w:r>
      <w:r>
        <w:rPr>
          <w:rFonts w:ascii="Times New Roman" w:hAnsi="Times New Roman"/>
          <w:sz w:val="22"/>
        </w:rPr>
        <w:t>. En particular y conforme al acto de base aplicable, los licitadores y solicitantes a los que se les adjudiquen contratos deberán respetar la legislación medioambiental y los acuerdos medioambientales multilaterales, así como las normas fundamentales del trabajo aplicables definidas en los convenios pertinentes de la Organización Internacional del Trabajo (tales como los convenios sobre la libertad sindical y la negociación colectiva, la eliminación del trabajo forzoso u obligatorio, la abolición del trabajo infantil)</w:t>
      </w:r>
      <w:r w:rsidR="0047783A" w:rsidRPr="0078676B">
        <w:rPr>
          <w:rFonts w:ascii="Times New Roman" w:hAnsi="Times New Roman"/>
          <w:sz w:val="22"/>
        </w:rPr>
        <w:t>.</w:t>
      </w:r>
    </w:p>
    <w:p w:rsidR="00625361" w:rsidRPr="0078676B" w:rsidRDefault="0078676B" w:rsidP="00625361">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es-ES_tradnl"/>
        </w:rPr>
      </w:pPr>
      <w:r w:rsidRPr="0078676B">
        <w:rPr>
          <w:rFonts w:ascii="Times New Roman" w:hAnsi="Times New Roman"/>
          <w:b/>
          <w:sz w:val="22"/>
          <w:szCs w:val="22"/>
          <w:lang w:val="es-ES_tradnl"/>
        </w:rPr>
        <w:t xml:space="preserve">Tolerancia cero </w:t>
      </w:r>
      <w:r>
        <w:rPr>
          <w:rFonts w:ascii="Times New Roman" w:hAnsi="Times New Roman"/>
          <w:b/>
          <w:sz w:val="22"/>
          <w:szCs w:val="22"/>
          <w:lang w:val="es-ES_tradnl"/>
        </w:rPr>
        <w:t>ante</w:t>
      </w:r>
      <w:r w:rsidRPr="0078676B">
        <w:rPr>
          <w:rFonts w:ascii="Times New Roman" w:hAnsi="Times New Roman"/>
          <w:b/>
          <w:sz w:val="22"/>
          <w:szCs w:val="22"/>
          <w:lang w:val="es-ES_tradnl"/>
        </w:rPr>
        <w:t xml:space="preserve"> la explotación </w:t>
      </w:r>
      <w:r w:rsidR="006F4753">
        <w:rPr>
          <w:rFonts w:ascii="Times New Roman" w:hAnsi="Times New Roman"/>
          <w:b/>
          <w:sz w:val="22"/>
          <w:szCs w:val="22"/>
          <w:lang w:val="es-ES_tradnl"/>
        </w:rPr>
        <w:t xml:space="preserve">sexual, el </w:t>
      </w:r>
      <w:r w:rsidRPr="0078676B">
        <w:rPr>
          <w:rFonts w:ascii="Times New Roman" w:hAnsi="Times New Roman"/>
          <w:b/>
          <w:sz w:val="22"/>
          <w:szCs w:val="22"/>
          <w:lang w:val="es-ES_tradnl"/>
        </w:rPr>
        <w:t xml:space="preserve"> abuso </w:t>
      </w:r>
      <w:r w:rsidR="006F4753">
        <w:rPr>
          <w:rFonts w:ascii="Times New Roman" w:hAnsi="Times New Roman"/>
          <w:b/>
          <w:sz w:val="22"/>
          <w:szCs w:val="22"/>
          <w:lang w:val="es-ES_tradnl"/>
        </w:rPr>
        <w:t>y el acoso</w:t>
      </w:r>
      <w:r w:rsidR="00625361" w:rsidRPr="0078676B">
        <w:rPr>
          <w:rFonts w:ascii="Times New Roman" w:hAnsi="Times New Roman"/>
          <w:b/>
          <w:sz w:val="22"/>
          <w:szCs w:val="22"/>
          <w:lang w:val="es-ES_tradnl"/>
        </w:rPr>
        <w:t>:</w:t>
      </w:r>
    </w:p>
    <w:p w:rsidR="0078676B" w:rsidRPr="0078676B" w:rsidRDefault="0078676B" w:rsidP="0078676B">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s-ES_tradnl"/>
        </w:rPr>
      </w:pPr>
      <w:r w:rsidRPr="0078676B">
        <w:rPr>
          <w:rFonts w:ascii="Times New Roman" w:hAnsi="Times New Roman"/>
          <w:sz w:val="22"/>
          <w:szCs w:val="22"/>
          <w:lang w:val="es-ES_tradnl"/>
        </w:rPr>
        <w:t xml:space="preserve">La Comisión Europea aplica una política de «tolerancia cero» en relación con cualquier conducta ilícita que repercuta en la credibilidad profesional del licitador.  </w:t>
      </w:r>
    </w:p>
    <w:p w:rsidR="00625361" w:rsidRPr="0078676B" w:rsidRDefault="0078676B" w:rsidP="0078676B">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s-ES_tradnl"/>
        </w:rPr>
      </w:pPr>
      <w:r w:rsidRPr="0078676B">
        <w:rPr>
          <w:rFonts w:ascii="Times New Roman" w:hAnsi="Times New Roman"/>
          <w:sz w:val="22"/>
          <w:szCs w:val="22"/>
          <w:lang w:val="es-ES_tradnl"/>
        </w:rPr>
        <w:t>Se prohíben los maltratos físicos o los castigos, las amenazas de maltrato físico, los abusos o la explotación sexual, el acoso y los insultos, así como otras formas de intimidación</w:t>
      </w:r>
      <w:r w:rsidR="00625361" w:rsidRPr="0078676B">
        <w:rPr>
          <w:rFonts w:ascii="Times New Roman" w:hAnsi="Times New Roman"/>
          <w:sz w:val="22"/>
          <w:szCs w:val="22"/>
          <w:lang w:val="es-ES_tradnl"/>
        </w:rPr>
        <w:t xml:space="preserve">. </w:t>
      </w:r>
    </w:p>
    <w:p w:rsidR="00625361" w:rsidRPr="00424582" w:rsidRDefault="0047783A" w:rsidP="00625361">
      <w:pPr>
        <w:pStyle w:val="Heading2"/>
        <w:keepNext w:val="0"/>
        <w:ind w:left="567" w:hanging="567"/>
        <w:jc w:val="both"/>
        <w:rPr>
          <w:u w:val="single"/>
          <w:lang w:val="es-ES_tradnl"/>
        </w:rPr>
      </w:pPr>
      <w:r w:rsidRPr="00424582">
        <w:rPr>
          <w:rFonts w:ascii="Times New Roman" w:hAnsi="Times New Roman"/>
          <w:sz w:val="22"/>
          <w:lang w:val="es-ES_tradnl"/>
        </w:rPr>
        <w:t>2</w:t>
      </w:r>
      <w:r w:rsidR="00625361" w:rsidRPr="00424582">
        <w:rPr>
          <w:rFonts w:ascii="Times New Roman" w:hAnsi="Times New Roman"/>
          <w:sz w:val="22"/>
          <w:lang w:val="es-ES_tradnl"/>
        </w:rPr>
        <w:t>4</w:t>
      </w:r>
      <w:r w:rsidRPr="00424582">
        <w:rPr>
          <w:rFonts w:ascii="Times New Roman" w:hAnsi="Times New Roman"/>
          <w:sz w:val="22"/>
          <w:lang w:val="es-ES_tradnl"/>
        </w:rPr>
        <w:t>.</w:t>
      </w:r>
      <w:r w:rsidR="00625361" w:rsidRPr="00424582">
        <w:rPr>
          <w:rFonts w:ascii="Times New Roman" w:hAnsi="Times New Roman"/>
          <w:sz w:val="22"/>
          <w:lang w:val="es-ES_tradnl"/>
        </w:rPr>
        <w:t>3</w:t>
      </w:r>
      <w:r w:rsidR="00625361" w:rsidRPr="00424582">
        <w:rPr>
          <w:rFonts w:ascii="Times New Roman" w:hAnsi="Times New Roman"/>
          <w:sz w:val="22"/>
          <w:lang w:val="es-ES_tradnl"/>
        </w:rPr>
        <w:tab/>
      </w:r>
      <w:r w:rsidR="00424582" w:rsidRPr="00424582">
        <w:rPr>
          <w:rFonts w:ascii="Times New Roman" w:hAnsi="Times New Roman"/>
          <w:sz w:val="22"/>
          <w:u w:val="single"/>
          <w:lang w:val="es-ES_tradnl"/>
        </w:rPr>
        <w:t>Lucha contra la corrupción y los sobornos</w:t>
      </w:r>
    </w:p>
    <w:p w:rsidR="0047783A" w:rsidRPr="00424582" w:rsidRDefault="00424582" w:rsidP="00424582">
      <w:pPr>
        <w:pStyle w:val="Heading2"/>
        <w:keepNext w:val="0"/>
        <w:ind w:left="567"/>
        <w:jc w:val="both"/>
        <w:rPr>
          <w:rFonts w:ascii="Times New Roman" w:hAnsi="Times New Roman"/>
        </w:rPr>
      </w:pPr>
      <w:r w:rsidRPr="00424582">
        <w:rPr>
          <w:rFonts w:ascii="Times New Roman" w:hAnsi="Times New Roman"/>
          <w:sz w:val="22"/>
          <w:szCs w:val="22"/>
          <w:lang w:val="es-ES_tradnl"/>
        </w:rPr>
        <w:t>El licitador deberá cumplir todas las leyes y reglamentos aplicables, así como los códigos relativos a la lucha contra el soborno y la lucha contra la corrupción</w:t>
      </w:r>
      <w:r w:rsidR="00625361" w:rsidRPr="00424582">
        <w:rPr>
          <w:rFonts w:ascii="Times New Roman" w:hAnsi="Times New Roman"/>
          <w:sz w:val="22"/>
          <w:szCs w:val="22"/>
          <w:lang w:val="es-ES_tradnl"/>
        </w:rPr>
        <w:t xml:space="preserve">. </w:t>
      </w:r>
      <w:r w:rsidR="0047783A" w:rsidRPr="00424582">
        <w:rPr>
          <w:rFonts w:ascii="Times New Roman" w:hAnsi="Times New Roman"/>
          <w:sz w:val="22"/>
        </w:rPr>
        <w:t xml:space="preserve">La Comisión se reserva el derecho de suspender o anular la financiación de los proyectos si se descubren prácticas de corrupción de cualquier naturaleza en cualquier fase del procedimiento de adjudicación </w:t>
      </w:r>
      <w:r w:rsidR="003225BF" w:rsidRPr="00424582">
        <w:rPr>
          <w:rFonts w:ascii="Times New Roman" w:hAnsi="Times New Roman"/>
          <w:sz w:val="22"/>
        </w:rPr>
        <w:t xml:space="preserve">o </w:t>
      </w:r>
      <w:r>
        <w:rPr>
          <w:rFonts w:ascii="Times New Roman" w:hAnsi="Times New Roman"/>
          <w:sz w:val="22"/>
        </w:rPr>
        <w:t xml:space="preserve">durante la ejecución del </w:t>
      </w:r>
      <w:r w:rsidR="003225BF" w:rsidRPr="00424582">
        <w:rPr>
          <w:rFonts w:ascii="Times New Roman" w:hAnsi="Times New Roman"/>
          <w:sz w:val="22"/>
        </w:rPr>
        <w:t>contrat</w:t>
      </w:r>
      <w:r>
        <w:rPr>
          <w:rFonts w:ascii="Times New Roman" w:hAnsi="Times New Roman"/>
          <w:sz w:val="22"/>
        </w:rPr>
        <w:t>o</w:t>
      </w:r>
      <w:r w:rsidR="003225BF" w:rsidRPr="00424582">
        <w:rPr>
          <w:rFonts w:ascii="Times New Roman" w:hAnsi="Times New Roman"/>
          <w:sz w:val="22"/>
        </w:rPr>
        <w:t xml:space="preserve"> </w:t>
      </w:r>
      <w:r w:rsidR="0047783A" w:rsidRPr="00424582">
        <w:rPr>
          <w:rFonts w:ascii="Times New Roman" w:hAnsi="Times New Roman"/>
          <w:sz w:val="22"/>
        </w:rPr>
        <w:t xml:space="preserve">y si el Órgano de Contratación no toma todas las medidas oportunas para poner remedio a esta situación. A efectos de esta disposición, se entiende por «prácticas de corrupción» cualquier propuesta de soborno, regalo, gratificación o comisión a cualquier persona como incentivo o recompensa para que realice o se abstenga de realizar actos relacionados con la adjudicación del contrato o con la </w:t>
      </w:r>
      <w:r w:rsidR="00F104ED" w:rsidRPr="00424582">
        <w:rPr>
          <w:rFonts w:ascii="Times New Roman" w:hAnsi="Times New Roman"/>
          <w:sz w:val="22"/>
        </w:rPr>
        <w:t>ejecución</w:t>
      </w:r>
      <w:r w:rsidR="0047783A" w:rsidRPr="00424582">
        <w:rPr>
          <w:rFonts w:ascii="Times New Roman" w:hAnsi="Times New Roman"/>
          <w:sz w:val="22"/>
        </w:rPr>
        <w:t xml:space="preserve"> de un contrato ya suscrito con el Órgano de Contratación.</w:t>
      </w:r>
    </w:p>
    <w:p w:rsidR="003225BF" w:rsidRPr="00424582" w:rsidRDefault="0047783A" w:rsidP="003225BF">
      <w:pPr>
        <w:pStyle w:val="Heading2"/>
        <w:keepNext w:val="0"/>
        <w:ind w:left="567" w:hanging="567"/>
        <w:jc w:val="both"/>
      </w:pPr>
      <w:r w:rsidRPr="00424582">
        <w:rPr>
          <w:rFonts w:ascii="Times New Roman" w:hAnsi="Times New Roman"/>
          <w:sz w:val="22"/>
        </w:rPr>
        <w:t>2</w:t>
      </w:r>
      <w:r w:rsidR="003225BF" w:rsidRPr="00424582">
        <w:rPr>
          <w:rFonts w:ascii="Times New Roman" w:hAnsi="Times New Roman"/>
          <w:sz w:val="22"/>
        </w:rPr>
        <w:t>4</w:t>
      </w:r>
      <w:r w:rsidRPr="00424582">
        <w:rPr>
          <w:rFonts w:ascii="Times New Roman" w:hAnsi="Times New Roman"/>
          <w:sz w:val="22"/>
        </w:rPr>
        <w:t>.</w:t>
      </w:r>
      <w:r w:rsidR="003225BF" w:rsidRPr="00424582">
        <w:rPr>
          <w:rFonts w:ascii="Times New Roman" w:hAnsi="Times New Roman"/>
          <w:sz w:val="22"/>
        </w:rPr>
        <w:t>5</w:t>
      </w:r>
      <w:r w:rsidR="003225BF" w:rsidRPr="00424582">
        <w:rPr>
          <w:rFonts w:ascii="Times New Roman" w:hAnsi="Times New Roman"/>
          <w:sz w:val="22"/>
        </w:rPr>
        <w:tab/>
      </w:r>
      <w:r w:rsidR="00424582" w:rsidRPr="00424582">
        <w:rPr>
          <w:rFonts w:ascii="Times New Roman" w:hAnsi="Times New Roman"/>
          <w:sz w:val="22"/>
          <w:u w:val="single"/>
        </w:rPr>
        <w:t>Gastos comerciales no habituales</w:t>
      </w:r>
      <w:r w:rsidRPr="00424582">
        <w:tab/>
      </w:r>
    </w:p>
    <w:p w:rsidR="0047783A" w:rsidRPr="00E82463" w:rsidRDefault="0047783A" w:rsidP="003225BF">
      <w:pPr>
        <w:pStyle w:val="Heading2"/>
        <w:keepNext w:val="0"/>
        <w:ind w:left="567"/>
        <w:jc w:val="both"/>
        <w:rPr>
          <w:rFonts w:ascii="Times New Roman" w:hAnsi="Times New Roman"/>
          <w:sz w:val="22"/>
        </w:rPr>
      </w:pPr>
      <w:r>
        <w:rPr>
          <w:rFonts w:ascii="Times New Roman" w:hAnsi="Times New Roman"/>
          <w:sz w:val="22"/>
        </w:rPr>
        <w:t xml:space="preserve">En caso de que la adjudicación o la </w:t>
      </w:r>
      <w:r w:rsidR="007E7B65">
        <w:rPr>
          <w:rFonts w:ascii="Times New Roman" w:hAnsi="Times New Roman"/>
          <w:sz w:val="22"/>
        </w:rPr>
        <w:t>ejecución</w:t>
      </w:r>
      <w:r>
        <w:rPr>
          <w:rFonts w:ascii="Times New Roman" w:hAnsi="Times New Roman"/>
          <w:sz w:val="22"/>
        </w:rPr>
        <w:t xml:space="preserve"> de un contrato dé lugar a gastos comerciales no habituales, se rechazará la correspondiente oferta o se pondrá fin al contrato. 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w:t>
      </w:r>
      <w:r w:rsidR="00945605">
        <w:rPr>
          <w:rFonts w:ascii="Times New Roman" w:hAnsi="Times New Roman"/>
          <w:sz w:val="22"/>
        </w:rPr>
        <w:t>beneficiario</w:t>
      </w:r>
      <w:r>
        <w:rPr>
          <w:rFonts w:ascii="Times New Roman" w:hAnsi="Times New Roman"/>
          <w:sz w:val="22"/>
        </w:rPr>
        <w:t xml:space="preserve"> que no esté claramente identificado o a una sociedad que presente </w:t>
      </w:r>
      <w:r w:rsidR="00945605">
        <w:rPr>
          <w:rFonts w:ascii="Times New Roman" w:hAnsi="Times New Roman"/>
          <w:sz w:val="22"/>
        </w:rPr>
        <w:t xml:space="preserve">todas las apariencias </w:t>
      </w:r>
      <w:r>
        <w:rPr>
          <w:rFonts w:ascii="Times New Roman" w:hAnsi="Times New Roman"/>
          <w:sz w:val="22"/>
        </w:rPr>
        <w:t>de ser una empresa pantalla.</w:t>
      </w:r>
    </w:p>
    <w:p w:rsidR="0047783A" w:rsidRPr="00945605" w:rsidRDefault="0047783A" w:rsidP="003225BF">
      <w:pPr>
        <w:pStyle w:val="Heading2"/>
        <w:keepNext w:val="0"/>
        <w:ind w:left="567"/>
        <w:jc w:val="both"/>
        <w:rPr>
          <w:rFonts w:ascii="Times New Roman" w:hAnsi="Times New Roman"/>
          <w:sz w:val="22"/>
          <w:szCs w:val="22"/>
        </w:rPr>
      </w:pPr>
      <w:r>
        <w:rPr>
          <w:rFonts w:ascii="Times New Roman" w:hAnsi="Times New Roman"/>
          <w:sz w:val="22"/>
        </w:rPr>
        <w:t xml:space="preserve">Los contratistas de los que conste fehacientemente que hayan incurrido en gastos comerciales no habituales en proyectos financiados por la Unión Europea se exponen, según la gravedad de los hechos, a la resolución del contrato o a la exclusión definitiva de la </w:t>
      </w:r>
      <w:r w:rsidRPr="00945605">
        <w:rPr>
          <w:rFonts w:ascii="Times New Roman" w:hAnsi="Times New Roman"/>
          <w:sz w:val="22"/>
        </w:rPr>
        <w:t>posibilidad de recibir fondos de la UE.</w:t>
      </w:r>
    </w:p>
    <w:p w:rsidR="003225BF" w:rsidRPr="00945605" w:rsidRDefault="0047783A" w:rsidP="003225BF">
      <w:pPr>
        <w:pStyle w:val="Heading2"/>
        <w:keepNext w:val="0"/>
        <w:ind w:left="567" w:hanging="567"/>
        <w:jc w:val="both"/>
        <w:rPr>
          <w:lang w:val="es-ES_tradnl"/>
        </w:rPr>
      </w:pPr>
      <w:r w:rsidRPr="00945605">
        <w:rPr>
          <w:rFonts w:ascii="Times New Roman" w:hAnsi="Times New Roman"/>
          <w:sz w:val="22"/>
          <w:lang w:val="es-ES_tradnl"/>
        </w:rPr>
        <w:t>2</w:t>
      </w:r>
      <w:r w:rsidR="003225BF" w:rsidRPr="00945605">
        <w:rPr>
          <w:rFonts w:ascii="Times New Roman" w:hAnsi="Times New Roman"/>
          <w:sz w:val="22"/>
          <w:lang w:val="es-ES_tradnl"/>
        </w:rPr>
        <w:t>4</w:t>
      </w:r>
      <w:r w:rsidRPr="00945605">
        <w:rPr>
          <w:rFonts w:ascii="Times New Roman" w:hAnsi="Times New Roman"/>
          <w:sz w:val="22"/>
          <w:lang w:val="es-ES_tradnl"/>
        </w:rPr>
        <w:t>.</w:t>
      </w:r>
      <w:r w:rsidR="003225BF" w:rsidRPr="00945605">
        <w:rPr>
          <w:rFonts w:ascii="Times New Roman" w:hAnsi="Times New Roman"/>
          <w:sz w:val="22"/>
          <w:lang w:val="es-ES_tradnl"/>
        </w:rPr>
        <w:t>5</w:t>
      </w:r>
      <w:r w:rsidR="003225BF" w:rsidRPr="00945605">
        <w:rPr>
          <w:rFonts w:ascii="Times New Roman" w:hAnsi="Times New Roman"/>
          <w:sz w:val="22"/>
          <w:lang w:val="es-ES_tradnl"/>
        </w:rPr>
        <w:tab/>
      </w:r>
      <w:r w:rsidR="00945605" w:rsidRPr="00945605">
        <w:rPr>
          <w:rFonts w:ascii="Times New Roman" w:hAnsi="Times New Roman"/>
          <w:sz w:val="22"/>
          <w:u w:val="single"/>
          <w:lang w:val="es-ES_tradnl"/>
        </w:rPr>
        <w:t>Incumplimiento de obligaciones, irregularidades o fraude</w:t>
      </w:r>
      <w:r w:rsidRPr="00945605">
        <w:rPr>
          <w:lang w:val="es-ES_tradnl"/>
        </w:rPr>
        <w:tab/>
      </w:r>
    </w:p>
    <w:p w:rsidR="0047783A" w:rsidRPr="00945605" w:rsidRDefault="0047783A" w:rsidP="003225BF">
      <w:pPr>
        <w:pStyle w:val="Heading2"/>
        <w:keepNext w:val="0"/>
        <w:ind w:left="567"/>
        <w:jc w:val="both"/>
        <w:rPr>
          <w:rFonts w:ascii="Times New Roman" w:hAnsi="Times New Roman"/>
          <w:sz w:val="22"/>
          <w:szCs w:val="22"/>
        </w:rPr>
      </w:pPr>
      <w:r w:rsidRPr="00945605">
        <w:rPr>
          <w:rFonts w:ascii="Times New Roman" w:hAnsi="Times New Roman"/>
          <w:sz w:val="22"/>
        </w:rPr>
        <w:t>El Órgano de Contratación se reserva el derecho de suspender o anular el procedimiento cuando resulte que en el procedimiento de adjudicación se produjeron</w:t>
      </w:r>
      <w:r w:rsidR="00945605">
        <w:rPr>
          <w:rFonts w:ascii="Times New Roman" w:hAnsi="Times New Roman"/>
          <w:sz w:val="22"/>
        </w:rPr>
        <w:t xml:space="preserve"> incumplimiento de </w:t>
      </w:r>
      <w:r w:rsidR="003225BF" w:rsidRPr="00945605">
        <w:rPr>
          <w:rFonts w:ascii="Times New Roman" w:hAnsi="Times New Roman"/>
          <w:sz w:val="22"/>
        </w:rPr>
        <w:t>obliga</w:t>
      </w:r>
      <w:r w:rsidR="00945605">
        <w:rPr>
          <w:rFonts w:ascii="Times New Roman" w:hAnsi="Times New Roman"/>
          <w:sz w:val="22"/>
        </w:rPr>
        <w:t>c</w:t>
      </w:r>
      <w:r w:rsidR="003225BF" w:rsidRPr="00945605">
        <w:rPr>
          <w:rFonts w:ascii="Times New Roman" w:hAnsi="Times New Roman"/>
          <w:sz w:val="22"/>
        </w:rPr>
        <w:t>ion</w:t>
      </w:r>
      <w:r w:rsidR="00945605">
        <w:rPr>
          <w:rFonts w:ascii="Times New Roman" w:hAnsi="Times New Roman"/>
          <w:sz w:val="22"/>
        </w:rPr>
        <w:t>e</w:t>
      </w:r>
      <w:r w:rsidR="003225BF" w:rsidRPr="00945605">
        <w:rPr>
          <w:rFonts w:ascii="Times New Roman" w:hAnsi="Times New Roman"/>
          <w:sz w:val="22"/>
        </w:rPr>
        <w:t>s</w:t>
      </w:r>
      <w:r w:rsidRPr="00945605">
        <w:rPr>
          <w:rFonts w:ascii="Times New Roman" w:hAnsi="Times New Roman"/>
          <w:sz w:val="22"/>
        </w:rPr>
        <w:t xml:space="preserve">, irregularidades o fraude. Cuando tal </w:t>
      </w:r>
      <w:r w:rsidR="00945605">
        <w:rPr>
          <w:rFonts w:ascii="Times New Roman" w:hAnsi="Times New Roman"/>
          <w:sz w:val="22"/>
        </w:rPr>
        <w:t>incumplimiento</w:t>
      </w:r>
      <w:r w:rsidRPr="00945605">
        <w:rPr>
          <w:rFonts w:ascii="Times New Roman" w:hAnsi="Times New Roman"/>
          <w:sz w:val="22"/>
        </w:rPr>
        <w:t xml:space="preserve">, irregularidades o fraude se descubran </w:t>
      </w:r>
      <w:r w:rsidR="00945605">
        <w:rPr>
          <w:rFonts w:ascii="Times New Roman" w:hAnsi="Times New Roman"/>
          <w:sz w:val="22"/>
        </w:rPr>
        <w:t xml:space="preserve">tras </w:t>
      </w:r>
      <w:r w:rsidRPr="00945605">
        <w:rPr>
          <w:rFonts w:ascii="Times New Roman" w:hAnsi="Times New Roman"/>
          <w:sz w:val="22"/>
        </w:rPr>
        <w:t>la adjudicación del contrato, el Órgano de Contratación podrá abstenerse de celebrar el contrato.</w:t>
      </w:r>
    </w:p>
    <w:p w:rsidR="0047783A" w:rsidRPr="00E82463" w:rsidRDefault="0047783A" w:rsidP="00710F13">
      <w:pPr>
        <w:pStyle w:val="Heading1"/>
      </w:pPr>
      <w:bookmarkStart w:id="35" w:name="_Toc42488093"/>
      <w:r>
        <w:t>Anulación de la licitación</w:t>
      </w:r>
      <w:bookmarkEnd w:id="35"/>
    </w:p>
    <w:p w:rsidR="0047783A" w:rsidRPr="00E82463" w:rsidRDefault="0047783A" w:rsidP="0047783A">
      <w:pPr>
        <w:pStyle w:val="BodyText"/>
        <w:ind w:left="567"/>
        <w:jc w:val="both"/>
        <w:rPr>
          <w:rFonts w:ascii="Times New Roman" w:hAnsi="Times New Roman"/>
        </w:rPr>
      </w:pPr>
      <w:r>
        <w:rPr>
          <w:rFonts w:ascii="Times New Roman" w:hAnsi="Times New Roman"/>
          <w:sz w:val="22"/>
        </w:rPr>
        <w:t>En el supuesto de que se anule una licitación, el Órgano de Contratación debe notificárselo a los licitadores. Si se cancela la licitación antes de la sesión de apertura de plicas, éstas se devolverán a los licitadores sin abrirlas.</w:t>
      </w:r>
    </w:p>
    <w:p w:rsidR="0047783A" w:rsidRPr="00E82463" w:rsidRDefault="0047783A" w:rsidP="00E82463">
      <w:pPr>
        <w:pStyle w:val="BodyText"/>
        <w:spacing w:after="0"/>
        <w:ind w:left="567"/>
        <w:jc w:val="both"/>
        <w:rPr>
          <w:rFonts w:ascii="Times New Roman" w:hAnsi="Times New Roman"/>
          <w:sz w:val="22"/>
        </w:rPr>
      </w:pPr>
      <w:r>
        <w:rPr>
          <w:rFonts w:ascii="Times New Roman" w:hAnsi="Times New Roman"/>
          <w:sz w:val="22"/>
        </w:rPr>
        <w:t>La anulación podrá producirse, por ejemplo, en los casos siguientes:</w:t>
      </w:r>
    </w:p>
    <w:p w:rsidR="0047783A" w:rsidRPr="00E82463" w:rsidRDefault="0047783A" w:rsidP="00E82463">
      <w:pPr>
        <w:pStyle w:val="BodyTextIndent"/>
        <w:numPr>
          <w:ilvl w:val="0"/>
          <w:numId w:val="21"/>
        </w:numPr>
        <w:tabs>
          <w:tab w:val="left" w:pos="1134"/>
        </w:tabs>
        <w:spacing w:before="120"/>
        <w:ind w:left="1134"/>
        <w:rPr>
          <w:sz w:val="22"/>
        </w:rPr>
      </w:pPr>
      <w:r>
        <w:rPr>
          <w:sz w:val="22"/>
        </w:rPr>
        <w:t xml:space="preserve">cuando la licitación quede desierta, es decir, cuando no se haya recibido ninguna oferta </w:t>
      </w:r>
      <w:r w:rsidR="005A342C">
        <w:rPr>
          <w:sz w:val="22"/>
        </w:rPr>
        <w:t>adecuad</w:t>
      </w:r>
      <w:r>
        <w:rPr>
          <w:sz w:val="22"/>
        </w:rPr>
        <w:t>a o cuando ninguna de las ofertas recibidas fuera aceptable desde el punto de vista cualitativo o económico;</w:t>
      </w:r>
    </w:p>
    <w:p w:rsidR="0047783A" w:rsidRPr="00E82463" w:rsidRDefault="0047783A" w:rsidP="00AC07D4">
      <w:pPr>
        <w:pStyle w:val="BodyTextIndent"/>
        <w:numPr>
          <w:ilvl w:val="0"/>
          <w:numId w:val="21"/>
        </w:numPr>
        <w:tabs>
          <w:tab w:val="left" w:pos="1134"/>
        </w:tabs>
        <w:spacing w:before="120"/>
        <w:ind w:left="1134"/>
        <w:rPr>
          <w:sz w:val="22"/>
        </w:rPr>
      </w:pPr>
      <w:r>
        <w:rPr>
          <w:sz w:val="22"/>
        </w:rPr>
        <w:t>cuando los elementos técnicos o económicos del proyecto se hayan modificado de manera fundamental;</w:t>
      </w:r>
    </w:p>
    <w:p w:rsidR="0047783A" w:rsidRPr="00E82463" w:rsidRDefault="0047783A" w:rsidP="00AC07D4">
      <w:pPr>
        <w:pStyle w:val="BodyTextIndent"/>
        <w:numPr>
          <w:ilvl w:val="0"/>
          <w:numId w:val="21"/>
        </w:numPr>
        <w:tabs>
          <w:tab w:val="left" w:pos="1134"/>
        </w:tabs>
        <w:spacing w:before="120"/>
        <w:ind w:left="1134"/>
        <w:rPr>
          <w:sz w:val="22"/>
        </w:rPr>
      </w:pPr>
      <w:r>
        <w:rPr>
          <w:sz w:val="22"/>
        </w:rPr>
        <w:t>cuando circunstancias excepcionales o de fuerza mayor hagan imposible la ejecución normal del proyecto;</w:t>
      </w:r>
    </w:p>
    <w:p w:rsidR="0047783A" w:rsidRPr="00E82463" w:rsidRDefault="0047783A" w:rsidP="00AC07D4">
      <w:pPr>
        <w:pStyle w:val="BodyTextIndent"/>
        <w:numPr>
          <w:ilvl w:val="0"/>
          <w:numId w:val="21"/>
        </w:numPr>
        <w:tabs>
          <w:tab w:val="left" w:pos="1134"/>
        </w:tabs>
        <w:spacing w:before="120"/>
        <w:ind w:left="1134"/>
        <w:rPr>
          <w:sz w:val="22"/>
        </w:rPr>
      </w:pPr>
      <w:r>
        <w:rPr>
          <w:sz w:val="22"/>
        </w:rPr>
        <w:t>cuando todas las ofertas aceptables desde el punto de vista técnico excedan los recursos financieros disponibles;</w:t>
      </w:r>
    </w:p>
    <w:p w:rsidR="0047783A" w:rsidRPr="00E82463" w:rsidRDefault="0047783A" w:rsidP="003225BF">
      <w:pPr>
        <w:pStyle w:val="BodyTextIndent"/>
        <w:numPr>
          <w:ilvl w:val="0"/>
          <w:numId w:val="21"/>
        </w:numPr>
        <w:tabs>
          <w:tab w:val="left" w:pos="1134"/>
        </w:tabs>
        <w:spacing w:before="120" w:after="120"/>
        <w:ind w:left="1134"/>
        <w:rPr>
          <w:sz w:val="22"/>
        </w:rPr>
      </w:pPr>
      <w:r>
        <w:rPr>
          <w:sz w:val="22"/>
        </w:rPr>
        <w:t xml:space="preserve">cuando se hayan producido </w:t>
      </w:r>
      <w:r w:rsidR="00153BD3">
        <w:rPr>
          <w:sz w:val="22"/>
        </w:rPr>
        <w:t>incumplimiento</w:t>
      </w:r>
      <w:r w:rsidR="00945605">
        <w:rPr>
          <w:sz w:val="22"/>
        </w:rPr>
        <w:t xml:space="preserve"> de obligaciones</w:t>
      </w:r>
      <w:r>
        <w:rPr>
          <w:sz w:val="22"/>
        </w:rPr>
        <w:t>, irregularidades o fraudes en el procedimiento, sobre todo si han entorpecido su desarrollo en condiciones de competencia leal;</w:t>
      </w:r>
    </w:p>
    <w:p w:rsidR="0047783A" w:rsidRPr="00E82463" w:rsidRDefault="0047783A" w:rsidP="00AC07D4">
      <w:pPr>
        <w:pStyle w:val="BodyTextIndent"/>
        <w:numPr>
          <w:ilvl w:val="0"/>
          <w:numId w:val="21"/>
        </w:numPr>
        <w:tabs>
          <w:tab w:val="left" w:pos="1134"/>
        </w:tabs>
        <w:spacing w:before="120" w:after="120"/>
        <w:ind w:left="1134"/>
        <w:rPr>
          <w:sz w:val="22"/>
          <w:szCs w:val="22"/>
        </w:rPr>
      </w:pPr>
      <w:r>
        <w:rPr>
          <w:snapToGrid/>
          <w:sz w:val="22"/>
        </w:rPr>
        <w:t xml:space="preserve">cuando la adjudicación del contrato no respete la buena gestión financiera, </w:t>
      </w:r>
      <w:r w:rsidRPr="005A342C">
        <w:rPr>
          <w:snapToGrid/>
          <w:sz w:val="22"/>
        </w:rPr>
        <w:t>es decir los principios de economía, de eficiencia y de eficacia (por ejemplo el precio propuesto por el licitador al que se le ha otorgado el contrato es objetivamente desproporcionado en relación con el precio de mercado)</w:t>
      </w:r>
      <w:r>
        <w:rPr>
          <w:sz w:val="22"/>
        </w:rPr>
        <w:t>.</w:t>
      </w:r>
    </w:p>
    <w:p w:rsidR="0047783A" w:rsidRPr="00E82463" w:rsidRDefault="0047783A" w:rsidP="0047783A">
      <w:pPr>
        <w:pStyle w:val="BodyText2"/>
        <w:tabs>
          <w:tab w:val="left" w:pos="567"/>
        </w:tabs>
        <w:spacing w:before="120" w:after="120"/>
        <w:ind w:left="567"/>
        <w:rPr>
          <w:b/>
          <w:sz w:val="22"/>
          <w:szCs w:val="22"/>
        </w:rPr>
      </w:pPr>
      <w:r>
        <w:rPr>
          <w:b/>
          <w:sz w:val="22"/>
        </w:rPr>
        <w:t>En ningún caso podrá serle atribuida al Órgano de Contratación responsabilidad por cualesquiera daños, incluidos, sin carácter restrictivo, los daños por lucro cesante, ocasionados o relacionados en cualquier modo con la anulación de una licitación, incluso en el caso de que el Órgano de Contratación hubiere sido advertido de la posibilidad de la interposición de una reclamación por daños y perjuicios. La publicación de un anuncio de contrato no supone que el Órgano de Contratación contraiga obligación legal alguna de aplicar el programa o ejecutar el proyecto anunciado.</w:t>
      </w:r>
    </w:p>
    <w:p w:rsidR="0047783A" w:rsidRPr="00E82463" w:rsidRDefault="0047783A" w:rsidP="00710F13">
      <w:pPr>
        <w:pStyle w:val="Heading1"/>
      </w:pPr>
      <w:r>
        <w:t>Reclamaciones</w:t>
      </w:r>
    </w:p>
    <w:p w:rsidR="0047783A" w:rsidRPr="00E82463" w:rsidRDefault="0047783A" w:rsidP="003225BF">
      <w:pPr>
        <w:pStyle w:val="BodyText2"/>
        <w:tabs>
          <w:tab w:val="clear" w:pos="567"/>
        </w:tabs>
        <w:spacing w:after="120"/>
        <w:ind w:left="567"/>
        <w:rPr>
          <w:sz w:val="22"/>
          <w:szCs w:val="22"/>
        </w:rPr>
      </w:pPr>
      <w:r>
        <w:rPr>
          <w:sz w:val="22"/>
        </w:rPr>
        <w:t xml:space="preserve">Los licitadores que se consideren perjudicados por un error o una irregularidad cometida en el transcurso del proceso de adjudicación pueden presentar una reclamación. Véase </w:t>
      </w:r>
      <w:r w:rsidR="00AA3993">
        <w:rPr>
          <w:sz w:val="22"/>
        </w:rPr>
        <w:t xml:space="preserve">el apartado </w:t>
      </w:r>
      <w:r>
        <w:rPr>
          <w:sz w:val="22"/>
        </w:rPr>
        <w:t>2.</w:t>
      </w:r>
      <w:r w:rsidR="003225BF">
        <w:rPr>
          <w:sz w:val="22"/>
        </w:rPr>
        <w:t>12</w:t>
      </w:r>
      <w:r>
        <w:rPr>
          <w:sz w:val="22"/>
        </w:rPr>
        <w:t xml:space="preserve"> de la Guía Práctica.</w:t>
      </w:r>
    </w:p>
    <w:p w:rsidR="00E47370" w:rsidRPr="007019C1" w:rsidRDefault="0047783A" w:rsidP="00710F13">
      <w:pPr>
        <w:pStyle w:val="Heading1"/>
      </w:pPr>
      <w:r w:rsidRPr="007019C1">
        <w:t>Protección de datos</w:t>
      </w:r>
    </w:p>
    <w:p w:rsidR="00E47370" w:rsidRPr="00E82463" w:rsidRDefault="00E47370" w:rsidP="00E47370">
      <w:pPr>
        <w:pStyle w:val="BodyText2"/>
        <w:tabs>
          <w:tab w:val="clear" w:pos="567"/>
        </w:tabs>
        <w:spacing w:after="120"/>
        <w:rPr>
          <w:sz w:val="22"/>
          <w:szCs w:val="22"/>
          <w:highlight w:val="yellow"/>
        </w:rPr>
      </w:pPr>
      <w:r>
        <w:rPr>
          <w:sz w:val="22"/>
          <w:highlight w:val="yellow"/>
        </w:rPr>
        <w:t>El siguiente punto se debe incl</w:t>
      </w:r>
      <w:r w:rsidR="00EE60BA">
        <w:rPr>
          <w:sz w:val="22"/>
          <w:highlight w:val="yellow"/>
        </w:rPr>
        <w:t>uir solo en la gestión directa.</w:t>
      </w:r>
    </w:p>
    <w:p w:rsidR="00E47370" w:rsidRPr="007019C1" w:rsidRDefault="007D354B" w:rsidP="00E47370">
      <w:pPr>
        <w:ind w:left="-120"/>
        <w:jc w:val="both"/>
        <w:rPr>
          <w:rFonts w:ascii="Times New Roman" w:hAnsi="Times New Roman"/>
          <w:sz w:val="22"/>
          <w:szCs w:val="22"/>
        </w:rPr>
      </w:pPr>
      <w:r w:rsidRPr="007019C1">
        <w:rPr>
          <w:sz w:val="22"/>
          <w:szCs w:val="22"/>
        </w:rPr>
        <w:t>[</w:t>
      </w:r>
      <w:r w:rsidR="00E47370" w:rsidRPr="007019C1">
        <w:rPr>
          <w:rFonts w:ascii="Times New Roman" w:hAnsi="Times New Roman"/>
          <w:sz w:val="22"/>
          <w:szCs w:val="22"/>
          <w:highlight w:val="lightGray"/>
        </w:rPr>
        <w:t>Si el tratamiento de su respuesta a la invitación a licitar implica el registro y tratamiento de datos personales (tales como nombres, datos de contacto y CVs), estos datos se tratarán</w:t>
      </w:r>
      <w:r w:rsidR="00E47370" w:rsidRPr="007019C1">
        <w:rPr>
          <w:rStyle w:val="FootnoteReference"/>
          <w:rFonts w:ascii="Times New Roman" w:hAnsi="Times New Roman"/>
          <w:sz w:val="22"/>
          <w:szCs w:val="22"/>
          <w:highlight w:val="lightGray"/>
        </w:rPr>
        <w:footnoteReference w:id="6"/>
      </w:r>
      <w:r w:rsidR="00E47370" w:rsidRPr="007019C1">
        <w:rPr>
          <w:rFonts w:ascii="Times New Roman" w:hAnsi="Times New Roman"/>
          <w:sz w:val="22"/>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E47370" w:rsidRPr="003E3F71" w:rsidRDefault="003E3F71" w:rsidP="00E47370">
      <w:pPr>
        <w:ind w:left="-120"/>
        <w:jc w:val="both"/>
        <w:rPr>
          <w:rFonts w:ascii="Times New Roman" w:hAnsi="Times New Roman"/>
          <w:sz w:val="22"/>
          <w:szCs w:val="22"/>
          <w:highlight w:val="lightGray"/>
        </w:rPr>
      </w:pPr>
      <w:hyperlink r:id="rId11" w:history="1">
        <w:r w:rsidR="00E47370" w:rsidRPr="000177A0">
          <w:rPr>
            <w:rStyle w:val="Hyperlink"/>
            <w:rFonts w:ascii="Times New Roman" w:hAnsi="Times New Roman"/>
            <w:sz w:val="22"/>
            <w:szCs w:val="22"/>
            <w:highlight w:val="lightGray"/>
          </w:rPr>
          <w:t>http: //ec.europa.eu/europeaid/prag/annexes.do?chapterTitleCode=A</w:t>
        </w:r>
      </w:hyperlink>
      <w:r w:rsidR="00E47370" w:rsidRPr="003E3F71">
        <w:rPr>
          <w:rStyle w:val="FootnoteReference"/>
          <w:rFonts w:ascii="Times New Roman" w:hAnsi="Times New Roman"/>
          <w:sz w:val="22"/>
          <w:szCs w:val="22"/>
          <w:highlight w:val="lightGray"/>
        </w:rPr>
        <w:footnoteReference w:id="7"/>
      </w:r>
    </w:p>
    <w:p w:rsidR="00E47370" w:rsidRPr="007019C1" w:rsidRDefault="00E47370" w:rsidP="00E47370">
      <w:pPr>
        <w:ind w:left="-120"/>
        <w:jc w:val="both"/>
        <w:rPr>
          <w:rFonts w:ascii="Times New Roman" w:hAnsi="Times New Roman"/>
          <w:sz w:val="22"/>
          <w:szCs w:val="22"/>
          <w:highlight w:val="lightGray"/>
        </w:rPr>
      </w:pPr>
      <w:r w:rsidRPr="007019C1">
        <w:rPr>
          <w:rFonts w:ascii="Times New Roman" w:hAnsi="Times New Roman"/>
          <w:sz w:val="22"/>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7019C1">
        <w:rPr>
          <w:rFonts w:ascii="Times New Roman" w:hAnsi="Times New Roman"/>
          <w:sz w:val="22"/>
          <w:szCs w:val="22"/>
        </w:rPr>
        <w:t>.</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rPr>
        <w:t>[</w:t>
      </w:r>
      <w:r w:rsidRPr="007019C1">
        <w:rPr>
          <w:rFonts w:ascii="Times New Roman" w:hAnsi="Times New Roman"/>
          <w:sz w:val="22"/>
          <w:szCs w:val="22"/>
          <w:highlight w:val="yellow"/>
        </w:rPr>
        <w:t>En el caso de la DG</w:t>
      </w:r>
      <w:r w:rsidR="003E3F71">
        <w:rPr>
          <w:rFonts w:ascii="Times New Roman" w:hAnsi="Times New Roman"/>
          <w:sz w:val="22"/>
          <w:szCs w:val="22"/>
          <w:highlight w:val="yellow"/>
        </w:rPr>
        <w:t xml:space="preserve"> INTPA</w:t>
      </w:r>
      <w:r w:rsidRPr="007019C1">
        <w:rPr>
          <w:rFonts w:ascii="Times New Roman" w:hAnsi="Times New Roman"/>
          <w:sz w:val="22"/>
          <w:szCs w:val="22"/>
        </w:rPr>
        <w:t xml:space="preserve">, </w:t>
      </w:r>
      <w:r w:rsidRPr="007019C1">
        <w:rPr>
          <w:rFonts w:ascii="Times New Roman" w:hAnsi="Times New Roman"/>
          <w:sz w:val="22"/>
          <w:szCs w:val="22"/>
          <w:highlight w:val="lightGray"/>
        </w:rPr>
        <w:t>el/la responsable del tratamiento de la invitación a licitar es el/la jefe/a de la Unidad de Asuntos Jurídicos de la DG</w:t>
      </w:r>
      <w:r w:rsidR="003E3F71">
        <w:rPr>
          <w:rFonts w:ascii="Times New Roman" w:hAnsi="Times New Roman"/>
          <w:sz w:val="22"/>
          <w:szCs w:val="22"/>
          <w:highlight w:val="lightGray"/>
        </w:rPr>
        <w:t xml:space="preserve"> </w:t>
      </w:r>
      <w:r w:rsidR="003E3F71" w:rsidRPr="000177A0">
        <w:rPr>
          <w:rFonts w:ascii="Times New Roman" w:hAnsi="Times New Roman"/>
          <w:sz w:val="22"/>
          <w:szCs w:val="22"/>
          <w:highlight w:val="lightGray"/>
        </w:rPr>
        <w:t>International Partnerships</w:t>
      </w:r>
      <w:r w:rsidRPr="007019C1">
        <w:rPr>
          <w:rFonts w:ascii="Times New Roman" w:hAnsi="Times New Roman"/>
          <w:sz w:val="22"/>
          <w:szCs w:val="22"/>
        </w:rPr>
        <w:t>]</w:t>
      </w:r>
    </w:p>
    <w:p w:rsidR="00E47370" w:rsidRPr="007D354B" w:rsidRDefault="00E47370" w:rsidP="007019C1">
      <w:pPr>
        <w:ind w:left="-142"/>
        <w:rPr>
          <w:sz w:val="22"/>
          <w:szCs w:val="22"/>
        </w:rPr>
      </w:pPr>
      <w:r w:rsidRPr="007019C1">
        <w:rPr>
          <w:rFonts w:ascii="Times New Roman" w:hAnsi="Times New Roman"/>
          <w:sz w:val="22"/>
          <w:szCs w:val="22"/>
        </w:rPr>
        <w:t>[</w:t>
      </w:r>
      <w:r w:rsidRPr="007019C1">
        <w:rPr>
          <w:rFonts w:ascii="Times New Roman" w:hAnsi="Times New Roman"/>
          <w:sz w:val="22"/>
          <w:szCs w:val="22"/>
          <w:highlight w:val="yellow"/>
        </w:rPr>
        <w:t>En el caso de la DG NEAR</w:t>
      </w:r>
      <w:r w:rsidRPr="007019C1">
        <w:rPr>
          <w:rFonts w:ascii="Times New Roman" w:hAnsi="Times New Roman"/>
          <w:sz w:val="22"/>
          <w:szCs w:val="22"/>
        </w:rPr>
        <w:t xml:space="preserve">, </w:t>
      </w:r>
      <w:r w:rsidRPr="007019C1">
        <w:rPr>
          <w:rFonts w:ascii="Times New Roman" w:hAnsi="Times New Roman"/>
          <w:sz w:val="22"/>
          <w:szCs w:val="22"/>
          <w:highlight w:val="lightGray"/>
        </w:rPr>
        <w:t>el/la responsable del tratamiento de la invitación a licitar es el/la jefe/a de la Unidad R4 Finanzas y Contratos de la DG de Política de Vecindad y Negociaciones de Ampliación.</w:t>
      </w:r>
      <w:r w:rsidRPr="007019C1">
        <w:rPr>
          <w:rFonts w:ascii="Times New Roman" w:hAnsi="Times New Roman"/>
          <w:sz w:val="22"/>
          <w:szCs w:val="22"/>
        </w:rPr>
        <w:t>]</w:t>
      </w:r>
    </w:p>
    <w:p w:rsidR="00E47370" w:rsidRPr="007D354B" w:rsidRDefault="00E47370" w:rsidP="007019C1">
      <w:pPr>
        <w:ind w:left="-142"/>
        <w:rPr>
          <w:sz w:val="22"/>
          <w:szCs w:val="22"/>
          <w:highlight w:val="yellow"/>
        </w:rPr>
      </w:pPr>
      <w:r w:rsidRPr="007019C1">
        <w:rPr>
          <w:rFonts w:ascii="Times New Roman" w:hAnsi="Times New Roman"/>
          <w:sz w:val="22"/>
          <w:szCs w:val="22"/>
        </w:rPr>
        <w:t>[</w:t>
      </w:r>
      <w:r w:rsidRPr="007019C1">
        <w:rPr>
          <w:rFonts w:ascii="Times New Roman" w:hAnsi="Times New Roman"/>
          <w:sz w:val="22"/>
          <w:szCs w:val="22"/>
          <w:highlight w:val="yellow"/>
        </w:rPr>
        <w:t>Para cualquier otra DG</w:t>
      </w:r>
      <w:r w:rsidRPr="007019C1">
        <w:rPr>
          <w:rFonts w:ascii="Times New Roman" w:hAnsi="Times New Roman"/>
          <w:sz w:val="22"/>
          <w:szCs w:val="22"/>
        </w:rPr>
        <w:t xml:space="preserve"> </w:t>
      </w:r>
      <w:r w:rsidRPr="007019C1">
        <w:rPr>
          <w:rFonts w:ascii="Times New Roman" w:hAnsi="Times New Roman"/>
          <w:sz w:val="22"/>
          <w:szCs w:val="22"/>
          <w:highlight w:val="lightGray"/>
        </w:rPr>
        <w:t>el/la responsable del tratamiento de la invitación a licitar es</w:t>
      </w:r>
      <w:r w:rsidRPr="007019C1">
        <w:rPr>
          <w:rFonts w:ascii="Times New Roman" w:hAnsi="Times New Roman"/>
          <w:sz w:val="22"/>
          <w:szCs w:val="22"/>
        </w:rPr>
        <w:t xml:space="preserve"> </w:t>
      </w:r>
      <w:r w:rsidRPr="007019C1">
        <w:rPr>
          <w:rFonts w:ascii="Times New Roman" w:hAnsi="Times New Roman"/>
          <w:sz w:val="22"/>
          <w:szCs w:val="22"/>
          <w:highlight w:val="yellow"/>
        </w:rPr>
        <w:t>&lt;añada aquí la información de su responsable&gt;</w:t>
      </w:r>
      <w:r w:rsidRPr="007019C1">
        <w:rPr>
          <w:rFonts w:ascii="Times New Roman" w:hAnsi="Times New Roman"/>
          <w:sz w:val="22"/>
          <w:szCs w:val="22"/>
        </w:rPr>
        <w:t>.]</w:t>
      </w:r>
    </w:p>
    <w:p w:rsidR="0047783A" w:rsidRPr="007D354B" w:rsidRDefault="0047783A" w:rsidP="007019C1">
      <w:pPr>
        <w:ind w:left="-142"/>
        <w:rPr>
          <w:sz w:val="22"/>
          <w:szCs w:val="22"/>
          <w:highlight w:val="yellow"/>
        </w:rPr>
      </w:pPr>
      <w:r w:rsidRPr="007019C1">
        <w:rPr>
          <w:rFonts w:ascii="Times New Roman" w:hAnsi="Times New Roman"/>
          <w:sz w:val="22"/>
          <w:szCs w:val="22"/>
          <w:highlight w:val="yellow"/>
        </w:rPr>
        <w:t xml:space="preserve">El </w:t>
      </w:r>
      <w:r w:rsidR="00E47370" w:rsidRPr="007019C1">
        <w:rPr>
          <w:rFonts w:ascii="Times New Roman" w:hAnsi="Times New Roman"/>
          <w:sz w:val="22"/>
          <w:szCs w:val="22"/>
          <w:highlight w:val="yellow"/>
        </w:rPr>
        <w:t xml:space="preserve">siguiente punto </w:t>
      </w:r>
      <w:r w:rsidRPr="007019C1">
        <w:rPr>
          <w:rFonts w:ascii="Times New Roman" w:hAnsi="Times New Roman"/>
          <w:sz w:val="22"/>
          <w:szCs w:val="22"/>
          <w:highlight w:val="yellow"/>
        </w:rPr>
        <w:t xml:space="preserve">se debe incluir solo en la gestión </w:t>
      </w:r>
      <w:r w:rsidR="00710F13" w:rsidRPr="007019C1">
        <w:rPr>
          <w:rFonts w:ascii="Times New Roman" w:hAnsi="Times New Roman"/>
          <w:sz w:val="22"/>
          <w:szCs w:val="22"/>
          <w:highlight w:val="yellow"/>
        </w:rPr>
        <w:t>in</w:t>
      </w:r>
      <w:r w:rsidRPr="007019C1">
        <w:rPr>
          <w:rFonts w:ascii="Times New Roman" w:hAnsi="Times New Roman"/>
          <w:sz w:val="22"/>
          <w:szCs w:val="22"/>
          <w:highlight w:val="yellow"/>
        </w:rPr>
        <w:t>directa.</w:t>
      </w:r>
    </w:p>
    <w:p w:rsidR="00E47370" w:rsidRPr="007019C1" w:rsidRDefault="00E47370" w:rsidP="00E47370">
      <w:pPr>
        <w:ind w:left="-120"/>
        <w:jc w:val="both"/>
        <w:rPr>
          <w:rFonts w:ascii="Times New Roman" w:hAnsi="Times New Roman"/>
          <w:sz w:val="22"/>
          <w:szCs w:val="22"/>
          <w:highlight w:val="lightGray"/>
        </w:rPr>
      </w:pPr>
      <w:r w:rsidRPr="007019C1">
        <w:rPr>
          <w:rFonts w:ascii="Times New Roman" w:hAnsi="Times New Roman"/>
          <w:sz w:val="22"/>
          <w:szCs w:val="22"/>
        </w:rPr>
        <w:t>[</w:t>
      </w:r>
      <w:r w:rsidRPr="007019C1">
        <w:rPr>
          <w:rFonts w:ascii="Times New Roman" w:hAnsi="Times New Roman"/>
          <w:sz w:val="22"/>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highlight w:val="lightGray"/>
        </w:rPr>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E47370" w:rsidRPr="007019C1" w:rsidRDefault="00E47370" w:rsidP="00E47370">
      <w:pPr>
        <w:ind w:left="-120"/>
        <w:jc w:val="both"/>
        <w:rPr>
          <w:rFonts w:ascii="Times New Roman" w:hAnsi="Times New Roman"/>
          <w:sz w:val="22"/>
          <w:szCs w:val="22"/>
          <w:highlight w:val="lightGray"/>
        </w:rPr>
      </w:pPr>
      <w:r w:rsidRPr="007019C1">
        <w:rPr>
          <w:rFonts w:ascii="Times New Roman" w:hAnsi="Times New Roman"/>
          <w:sz w:val="22"/>
          <w:szCs w:val="22"/>
        </w:rPr>
        <w:t>[</w:t>
      </w:r>
      <w:r w:rsidRPr="007019C1">
        <w:rPr>
          <w:rFonts w:ascii="Times New Roman" w:hAnsi="Times New Roman"/>
          <w:sz w:val="22"/>
          <w:szCs w:val="22"/>
          <w:highlight w:val="yellow"/>
        </w:rPr>
        <w:t>para la DG</w:t>
      </w:r>
      <w:r w:rsidR="003E3F71">
        <w:rPr>
          <w:rFonts w:ascii="Times New Roman" w:hAnsi="Times New Roman"/>
          <w:sz w:val="22"/>
          <w:szCs w:val="22"/>
          <w:highlight w:val="yellow"/>
        </w:rPr>
        <w:t xml:space="preserve"> INTPA</w:t>
      </w:r>
      <w:r w:rsidRPr="007019C1">
        <w:rPr>
          <w:rFonts w:ascii="Times New Roman" w:hAnsi="Times New Roman"/>
          <w:sz w:val="22"/>
          <w:szCs w:val="22"/>
          <w:highlight w:val="lightGray"/>
        </w:rPr>
        <w:t xml:space="preserve">, el/la jefe/a de la Unidad de Asuntos Jurídicos de la DG </w:t>
      </w:r>
      <w:r w:rsidR="003E3F71" w:rsidRPr="003E34D8">
        <w:rPr>
          <w:rFonts w:ascii="Times New Roman" w:hAnsi="Times New Roman"/>
          <w:sz w:val="22"/>
          <w:szCs w:val="22"/>
          <w:highlight w:val="lightGray"/>
        </w:rPr>
        <w:t>International Partnerships</w:t>
      </w:r>
      <w:r w:rsidRPr="007019C1">
        <w:rPr>
          <w:rFonts w:ascii="Times New Roman" w:hAnsi="Times New Roman"/>
          <w:sz w:val="22"/>
          <w:szCs w:val="22"/>
          <w:highlight w:val="lightGray"/>
        </w:rPr>
        <w:t>.]</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rPr>
        <w:t>[</w:t>
      </w:r>
      <w:r w:rsidRPr="007019C1">
        <w:rPr>
          <w:rFonts w:ascii="Times New Roman" w:hAnsi="Times New Roman"/>
          <w:sz w:val="22"/>
          <w:szCs w:val="22"/>
          <w:highlight w:val="yellow"/>
        </w:rPr>
        <w:t>para la DG NEAR</w:t>
      </w:r>
      <w:r w:rsidRPr="007019C1">
        <w:rPr>
          <w:rFonts w:ascii="Times New Roman" w:hAnsi="Times New Roman"/>
          <w:sz w:val="22"/>
          <w:szCs w:val="22"/>
          <w:highlight w:val="lightGray"/>
        </w:rPr>
        <w:t>, el/la jefe/a de la Unidad R4 Finanzas y Contratos de la DG de Política de Vecindad y Negociaciones de Ampliación]</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rPr>
        <w:t>[</w:t>
      </w:r>
      <w:r w:rsidRPr="007019C1">
        <w:rPr>
          <w:rFonts w:ascii="Times New Roman" w:hAnsi="Times New Roman"/>
          <w:sz w:val="22"/>
          <w:szCs w:val="22"/>
          <w:highlight w:val="yellow"/>
        </w:rPr>
        <w:t>para cualquier otra DG&lt;, añada la función de su responsable &gt;</w:t>
      </w:r>
      <w:r w:rsidRPr="007019C1">
        <w:rPr>
          <w:rFonts w:ascii="Times New Roman" w:hAnsi="Times New Roman"/>
          <w:sz w:val="22"/>
          <w:szCs w:val="22"/>
        </w:rPr>
        <w:t>.</w:t>
      </w:r>
      <w:r w:rsidRPr="007019C1">
        <w:rPr>
          <w:rFonts w:ascii="Times New Roman" w:hAnsi="Times New Roman"/>
          <w:sz w:val="22"/>
          <w:szCs w:val="22"/>
          <w:highlight w:val="lightGray"/>
        </w:rPr>
        <w:t>]</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highlight w:val="lightGray"/>
        </w:rPr>
        <w:t>Los detalles relativos al tratamiento de sus datos personales por la Comisión están disponibles en la declaración de confidencialidad en el siguiente enlace:</w:t>
      </w:r>
    </w:p>
    <w:p w:rsidR="00E47370" w:rsidRPr="007019C1" w:rsidRDefault="000177A0" w:rsidP="00E47370">
      <w:pPr>
        <w:ind w:left="-120"/>
        <w:jc w:val="both"/>
        <w:rPr>
          <w:rFonts w:ascii="Times New Roman" w:hAnsi="Times New Roman"/>
          <w:color w:val="1F497D"/>
          <w:sz w:val="22"/>
          <w:szCs w:val="22"/>
          <w:highlight w:val="lightGray"/>
        </w:rPr>
      </w:pPr>
      <w:hyperlink r:id="rId12" w:history="1">
        <w:r w:rsidR="00E47370" w:rsidRPr="007019C1">
          <w:rPr>
            <w:rStyle w:val="Hyperlink"/>
            <w:rFonts w:ascii="Times New Roman" w:hAnsi="Times New Roman"/>
            <w:sz w:val="22"/>
            <w:szCs w:val="22"/>
            <w:highlight w:val="lightGray"/>
          </w:rPr>
          <w:t>http: //ec.europa.eu/europeaid/prag/annexes.do?chapterTitleCode=A</w:t>
        </w:r>
      </w:hyperlink>
    </w:p>
    <w:p w:rsidR="00E47370" w:rsidRPr="007019C1" w:rsidRDefault="00E47370" w:rsidP="007019C1">
      <w:pPr>
        <w:ind w:left="-142"/>
        <w:jc w:val="both"/>
        <w:rPr>
          <w:sz w:val="22"/>
          <w:szCs w:val="22"/>
        </w:rPr>
      </w:pPr>
      <w:r w:rsidRPr="007019C1">
        <w:rPr>
          <w:rFonts w:ascii="Times New Roman" w:hAnsi="Times New Roman"/>
          <w:sz w:val="22"/>
          <w:szCs w:val="22"/>
          <w:highlight w:val="lightGray"/>
        </w:rPr>
        <w:t>En los casos en los que procese datos personales en el contexto de la participación en un concurso (por ejemplo, CV de expertos principales y expertos técnicos) y/o de la ejecución de un contrato (por ejemplo, sustitución de expertos), deberá informar a los interesados sobre la posible transmisión de sus datos a las instituciones y organismos de la UE y transmitirles la declaración de confidencialidad antes mencionada.</w:t>
      </w:r>
      <w:r w:rsidRPr="007019C1">
        <w:rPr>
          <w:rFonts w:ascii="Times New Roman" w:hAnsi="Times New Roman"/>
          <w:sz w:val="22"/>
          <w:szCs w:val="22"/>
        </w:rPr>
        <w:t>]</w:t>
      </w:r>
    </w:p>
    <w:p w:rsidR="0047783A" w:rsidRPr="007019C1" w:rsidRDefault="0047783A" w:rsidP="00710F13">
      <w:pPr>
        <w:pStyle w:val="Heading1"/>
        <w:rPr>
          <w:bCs/>
        </w:rPr>
      </w:pPr>
      <w:r w:rsidRPr="007019C1">
        <w:t>Sistema de detección precoz y de exclusión</w:t>
      </w:r>
    </w:p>
    <w:p w:rsidR="00130EF1" w:rsidRPr="00E82463" w:rsidRDefault="0047783A" w:rsidP="00710F13">
      <w:pPr>
        <w:pStyle w:val="BodyText"/>
        <w:jc w:val="both"/>
        <w:rPr>
          <w:rFonts w:ascii="Times New Roman" w:hAnsi="Times New Roman"/>
          <w:sz w:val="22"/>
          <w:szCs w:val="22"/>
        </w:rPr>
      </w:pPr>
      <w:r w:rsidRPr="007019C1">
        <w:rPr>
          <w:rFonts w:ascii="Times New Roman" w:hAnsi="Times New Roman"/>
          <w:sz w:val="22"/>
        </w:rPr>
        <w:t>Los licitadores, y en caso de personas jurídicas, las personas que tengan facultades de representación, de toma de decisiones o de control sobre dichas personas jurídicas, son informados que, en caso de encontrarse en cualquiera de las situaciones  de detección precoz o de exclusión, sus datos personales (nombre y apellidos, en caso de personas físicas, domicilio, forma jurídica, nombre y apellidos de las personas con facultades de representación, de toma de decisiones o de control, en caso de personas jurídicas) podrían ser incluidos en el Sistema de detección precoz y de exclusión, y podrían ser comunicados a las personas y entidades incluidas en la Decisión mencionada respecto a la atribución o ejecución de un contrato público.</w:t>
      </w:r>
    </w:p>
    <w:sectPr w:rsidR="00130EF1" w:rsidRPr="00E82463"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54C" w:rsidRPr="006A5F84" w:rsidRDefault="0057754C">
      <w:r>
        <w:separator/>
      </w:r>
    </w:p>
  </w:endnote>
  <w:endnote w:type="continuationSeparator" w:id="0">
    <w:p w:rsidR="0057754C" w:rsidRPr="006A5F84" w:rsidRDefault="00577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4C" w:rsidRDefault="0057754C"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7754C" w:rsidRDefault="0057754C"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4C" w:rsidRPr="00DE0E27" w:rsidRDefault="00D95C80" w:rsidP="009423FB">
    <w:pPr>
      <w:pStyle w:val="Footer"/>
      <w:tabs>
        <w:tab w:val="clear" w:pos="4320"/>
        <w:tab w:val="clear" w:pos="8640"/>
        <w:tab w:val="right" w:pos="8647"/>
      </w:tabs>
      <w:spacing w:after="0"/>
      <w:ind w:right="6"/>
      <w:rPr>
        <w:rStyle w:val="PageNumber"/>
        <w:rFonts w:ascii="Times New Roman" w:hAnsi="Times New Roman"/>
        <w:sz w:val="18"/>
        <w:szCs w:val="18"/>
        <w:lang w:val="pt-PT"/>
      </w:rPr>
    </w:pPr>
    <w:r w:rsidRPr="00D95C80">
      <w:rPr>
        <w:rFonts w:ascii="Times New Roman" w:hAnsi="Times New Roman"/>
        <w:b/>
        <w:sz w:val="18"/>
        <w:lang w:val="pt-PT"/>
      </w:rPr>
      <w:t>Agosto 2020</w:t>
    </w:r>
    <w:r w:rsidR="0057754C" w:rsidRPr="00DE0E27">
      <w:rPr>
        <w:lang w:val="pt-PT"/>
      </w:rPr>
      <w:tab/>
    </w:r>
    <w:r w:rsidR="0057754C" w:rsidRPr="00DE0E27">
      <w:rPr>
        <w:rStyle w:val="PageNumber"/>
        <w:rFonts w:ascii="Times New Roman" w:hAnsi="Times New Roman"/>
        <w:sz w:val="18"/>
        <w:lang w:val="pt-PT"/>
      </w:rPr>
      <w:t xml:space="preserve">Página </w:t>
    </w:r>
    <w:r w:rsidR="0057754C" w:rsidRPr="009423FB">
      <w:rPr>
        <w:rStyle w:val="PageNumber"/>
        <w:rFonts w:ascii="Times New Roman" w:hAnsi="Times New Roman"/>
        <w:sz w:val="18"/>
        <w:szCs w:val="18"/>
      </w:rPr>
      <w:fldChar w:fldCharType="begin"/>
    </w:r>
    <w:r w:rsidR="0057754C" w:rsidRPr="00DE0E27">
      <w:rPr>
        <w:rStyle w:val="PageNumber"/>
        <w:rFonts w:ascii="Times New Roman" w:hAnsi="Times New Roman"/>
        <w:sz w:val="18"/>
        <w:szCs w:val="18"/>
        <w:lang w:val="pt-PT"/>
      </w:rPr>
      <w:instrText xml:space="preserve"> PAGE </w:instrText>
    </w:r>
    <w:r w:rsidR="0057754C" w:rsidRPr="009423FB">
      <w:rPr>
        <w:rStyle w:val="PageNumber"/>
        <w:rFonts w:ascii="Times New Roman" w:hAnsi="Times New Roman"/>
        <w:sz w:val="18"/>
        <w:szCs w:val="18"/>
      </w:rPr>
      <w:fldChar w:fldCharType="separate"/>
    </w:r>
    <w:r w:rsidR="000177A0">
      <w:rPr>
        <w:rStyle w:val="PageNumber"/>
        <w:rFonts w:ascii="Times New Roman" w:hAnsi="Times New Roman"/>
        <w:noProof/>
        <w:sz w:val="18"/>
        <w:szCs w:val="18"/>
        <w:lang w:val="pt-PT"/>
      </w:rPr>
      <w:t>1</w:t>
    </w:r>
    <w:r w:rsidR="0057754C" w:rsidRPr="009423FB">
      <w:rPr>
        <w:rStyle w:val="PageNumber"/>
        <w:rFonts w:ascii="Times New Roman" w:hAnsi="Times New Roman"/>
        <w:sz w:val="18"/>
        <w:szCs w:val="18"/>
      </w:rPr>
      <w:fldChar w:fldCharType="end"/>
    </w:r>
    <w:r w:rsidR="0057754C" w:rsidRPr="00DE0E27">
      <w:rPr>
        <w:rStyle w:val="PageNumber"/>
        <w:rFonts w:ascii="Times New Roman" w:hAnsi="Times New Roman"/>
        <w:sz w:val="18"/>
        <w:lang w:val="pt-PT"/>
      </w:rPr>
      <w:t xml:space="preserve"> de </w:t>
    </w:r>
    <w:r w:rsidR="0057754C" w:rsidRPr="009423FB">
      <w:rPr>
        <w:rStyle w:val="PageNumber"/>
        <w:rFonts w:ascii="Times New Roman" w:hAnsi="Times New Roman"/>
        <w:sz w:val="18"/>
        <w:szCs w:val="18"/>
      </w:rPr>
      <w:fldChar w:fldCharType="begin"/>
    </w:r>
    <w:r w:rsidR="0057754C" w:rsidRPr="00DE0E27">
      <w:rPr>
        <w:rStyle w:val="PageNumber"/>
        <w:rFonts w:ascii="Times New Roman" w:hAnsi="Times New Roman"/>
        <w:sz w:val="18"/>
        <w:szCs w:val="18"/>
        <w:lang w:val="pt-PT"/>
      </w:rPr>
      <w:instrText xml:space="preserve"> NUMPAGES </w:instrText>
    </w:r>
    <w:r w:rsidR="0057754C" w:rsidRPr="009423FB">
      <w:rPr>
        <w:rStyle w:val="PageNumber"/>
        <w:rFonts w:ascii="Times New Roman" w:hAnsi="Times New Roman"/>
        <w:sz w:val="18"/>
        <w:szCs w:val="18"/>
      </w:rPr>
      <w:fldChar w:fldCharType="separate"/>
    </w:r>
    <w:r w:rsidR="000177A0">
      <w:rPr>
        <w:rStyle w:val="PageNumber"/>
        <w:rFonts w:ascii="Times New Roman" w:hAnsi="Times New Roman"/>
        <w:noProof/>
        <w:sz w:val="18"/>
        <w:szCs w:val="18"/>
        <w:lang w:val="pt-PT"/>
      </w:rPr>
      <w:t>19</w:t>
    </w:r>
    <w:r w:rsidR="0057754C" w:rsidRPr="009423FB">
      <w:rPr>
        <w:rStyle w:val="PageNumber"/>
        <w:rFonts w:ascii="Times New Roman" w:hAnsi="Times New Roman"/>
        <w:sz w:val="18"/>
        <w:szCs w:val="18"/>
      </w:rPr>
      <w:fldChar w:fldCharType="end"/>
    </w:r>
  </w:p>
  <w:p w:rsidR="0057754C" w:rsidRPr="00DE0E27" w:rsidRDefault="0057754C" w:rsidP="009423FB">
    <w:pPr>
      <w:spacing w:before="0" w:after="0"/>
      <w:rPr>
        <w:rFonts w:ascii="Times New Roman" w:hAnsi="Times New Roman"/>
        <w:sz w:val="18"/>
        <w:szCs w:val="18"/>
        <w:lang w:val="pt-PT"/>
      </w:rPr>
    </w:pPr>
    <w:r w:rsidRPr="009423FB">
      <w:rPr>
        <w:rFonts w:ascii="Times New Roman" w:hAnsi="Times New Roman"/>
        <w:sz w:val="18"/>
        <w:szCs w:val="18"/>
      </w:rPr>
      <w:fldChar w:fldCharType="begin" w:fldLock="1"/>
    </w:r>
    <w:r w:rsidRPr="00DE0E27">
      <w:rPr>
        <w:rFonts w:ascii="Times New Roman" w:hAnsi="Times New Roman"/>
        <w:sz w:val="18"/>
        <w:szCs w:val="18"/>
        <w:lang w:val="pt-PT"/>
      </w:rPr>
      <w:instrText xml:space="preserve"> FILENAME </w:instrText>
    </w:r>
    <w:r w:rsidRPr="009423FB">
      <w:rPr>
        <w:rFonts w:ascii="Times New Roman" w:hAnsi="Times New Roman"/>
        <w:sz w:val="18"/>
        <w:szCs w:val="18"/>
      </w:rPr>
      <w:fldChar w:fldCharType="separate"/>
    </w:r>
    <w:r w:rsidRPr="00DE0E27">
      <w:rPr>
        <w:rFonts w:ascii="Times New Roman" w:hAnsi="Times New Roman"/>
        <w:noProof/>
        <w:sz w:val="18"/>
        <w:szCs w:val="18"/>
        <w:lang w:val="pt-PT"/>
      </w:rPr>
      <w:t>c4b_itt_e</w:t>
    </w:r>
    <w:r>
      <w:rPr>
        <w:rFonts w:ascii="Times New Roman" w:hAnsi="Times New Roman"/>
        <w:noProof/>
        <w:sz w:val="18"/>
        <w:szCs w:val="18"/>
        <w:lang w:val="pt-PT"/>
      </w:rPr>
      <w:t>s</w:t>
    </w:r>
    <w:r w:rsidRPr="00DE0E27">
      <w:rPr>
        <w:rFonts w:ascii="Times New Roman" w:hAnsi="Times New Roman"/>
        <w:noProof/>
        <w:sz w:val="18"/>
        <w:szCs w:val="18"/>
        <w:lang w:val="pt-PT"/>
      </w:rPr>
      <w:t>.doc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4C" w:rsidRPr="006A5F84" w:rsidRDefault="0057754C"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57754C" w:rsidRPr="006A5F84" w:rsidRDefault="0057754C" w:rsidP="0047783A">
    <w:pPr>
      <w:pStyle w:val="Footer"/>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54C" w:rsidRPr="006A5F84" w:rsidRDefault="0057754C">
      <w:r>
        <w:separator/>
      </w:r>
    </w:p>
  </w:footnote>
  <w:footnote w:type="continuationSeparator" w:id="0">
    <w:p w:rsidR="0057754C" w:rsidRPr="006A5F84" w:rsidRDefault="0057754C">
      <w:r>
        <w:continuationSeparator/>
      </w:r>
    </w:p>
  </w:footnote>
  <w:footnote w:id="1">
    <w:p w:rsidR="0057754C" w:rsidRPr="00D56F37" w:rsidRDefault="0057754C" w:rsidP="00D56F37">
      <w:pPr>
        <w:pStyle w:val="FootnoteText"/>
        <w:spacing w:before="0" w:after="0"/>
        <w:ind w:left="284" w:hanging="284"/>
        <w:rPr>
          <w:rFonts w:ascii="Times New Roman" w:hAnsi="Times New Roman"/>
          <w:lang w:val="es-ES_tradnl"/>
        </w:rPr>
      </w:pPr>
      <w:r w:rsidRPr="00D56F37">
        <w:rPr>
          <w:rStyle w:val="FootnoteReference"/>
          <w:rFonts w:ascii="Times New Roman" w:hAnsi="Times New Roman"/>
        </w:rPr>
        <w:footnoteRef/>
      </w:r>
      <w:r w:rsidRPr="00D56F37">
        <w:rPr>
          <w:rFonts w:ascii="Times New Roman" w:hAnsi="Times New Roman"/>
        </w:rPr>
        <w:tab/>
      </w:r>
      <w:r w:rsidRPr="00D56F37">
        <w:rPr>
          <w:rFonts w:ascii="Times New Roman" w:hAnsi="Times New Roman"/>
          <w:highlight w:val="yellow"/>
        </w:rPr>
        <w:t>DDP (</w:t>
      </w:r>
      <w:r w:rsidRPr="00D56F37">
        <w:rPr>
          <w:rFonts w:ascii="Times New Roman" w:hAnsi="Times New Roman"/>
          <w:i/>
          <w:highlight w:val="yellow"/>
        </w:rPr>
        <w:t>Delivered duty paid</w:t>
      </w:r>
      <w:r w:rsidRPr="00D56F37">
        <w:rPr>
          <w:rFonts w:ascii="Times New Roman" w:hAnsi="Times New Roman"/>
          <w:highlight w:val="yellow"/>
        </w:rPr>
        <w:t xml:space="preserve"> - Entregado con derechos abonados) / DAP (</w:t>
      </w:r>
      <w:r w:rsidRPr="00D56F37">
        <w:rPr>
          <w:rFonts w:ascii="Times New Roman" w:hAnsi="Times New Roman"/>
          <w:i/>
          <w:highlight w:val="yellow"/>
        </w:rPr>
        <w:t>Delivered at place</w:t>
      </w:r>
      <w:r w:rsidRPr="00D56F37">
        <w:rPr>
          <w:rFonts w:ascii="Times New Roman" w:hAnsi="Times New Roman"/>
          <w:highlight w:val="yellow"/>
        </w:rPr>
        <w:t xml:space="preserve"> - Entrega en un punto) </w:t>
      </w:r>
      <w:r w:rsidRPr="00D56F37">
        <w:rPr>
          <w:rFonts w:ascii="Times New Roman" w:hAnsi="Times New Roman"/>
        </w:rPr>
        <w:t xml:space="preserve"> — Incoterms </w:t>
      </w:r>
      <w:r w:rsidR="00614648" w:rsidRPr="00D56F37">
        <w:rPr>
          <w:rFonts w:ascii="Times New Roman" w:hAnsi="Times New Roman"/>
        </w:rPr>
        <w:t>20</w:t>
      </w:r>
      <w:r w:rsidR="00614648">
        <w:rPr>
          <w:rFonts w:ascii="Times New Roman" w:hAnsi="Times New Roman"/>
        </w:rPr>
        <w:t>2</w:t>
      </w:r>
      <w:r w:rsidR="00614648" w:rsidRPr="00D56F37">
        <w:rPr>
          <w:rFonts w:ascii="Times New Roman" w:hAnsi="Times New Roman"/>
        </w:rPr>
        <w:t xml:space="preserve">0 </w:t>
      </w:r>
      <w:r w:rsidRPr="00D56F37">
        <w:rPr>
          <w:rFonts w:ascii="Times New Roman" w:hAnsi="Times New Roman"/>
        </w:rPr>
        <w:t>Cámara Internacional de Comercio</w:t>
      </w:r>
      <w:r w:rsidR="002D49AD">
        <w:rPr>
          <w:rFonts w:ascii="Times New Roman" w:hAnsi="Times New Roman"/>
        </w:rPr>
        <w:t xml:space="preserve"> </w:t>
      </w:r>
      <w:hyperlink r:id="rId1" w:history="1">
        <w:r w:rsidR="00614648" w:rsidRPr="00D95C80">
          <w:rPr>
            <w:rFonts w:ascii="Times New Roman" w:hAnsi="Times New Roman"/>
          </w:rPr>
          <w:t>http://www.iccwbo.org/incoterms/</w:t>
        </w:r>
      </w:hyperlink>
      <w:r w:rsidR="003E3F71">
        <w:rPr>
          <w:rFonts w:ascii="Times New Roman" w:hAnsi="Times New Roman"/>
        </w:rPr>
        <w:t xml:space="preserve"> </w:t>
      </w:r>
    </w:p>
  </w:footnote>
  <w:footnote w:id="2">
    <w:p w:rsidR="0057754C" w:rsidRPr="00D56F37" w:rsidRDefault="0057754C" w:rsidP="00D56F37">
      <w:pPr>
        <w:pStyle w:val="FootnoteText"/>
        <w:spacing w:before="0" w:after="0"/>
        <w:rPr>
          <w:rFonts w:ascii="Times New Roman" w:hAnsi="Times New Roman"/>
        </w:rPr>
      </w:pPr>
      <w:r w:rsidRPr="00D56F37">
        <w:rPr>
          <w:rStyle w:val="FootnoteReference"/>
          <w:rFonts w:ascii="Times New Roman" w:hAnsi="Times New Roman"/>
        </w:rPr>
        <w:footnoteRef/>
      </w:r>
      <w:r w:rsidRPr="00D56F37">
        <w:rPr>
          <w:rFonts w:ascii="Times New Roman" w:hAnsi="Times New Roman"/>
        </w:rPr>
        <w:t xml:space="preserve"> Véase el apartado 2.6.10.1.3 A de la Guía Práctica.</w:t>
      </w:r>
    </w:p>
  </w:footnote>
  <w:footnote w:id="3">
    <w:p w:rsidR="0057754C" w:rsidRPr="00D56F37" w:rsidRDefault="0057754C" w:rsidP="00D56F37">
      <w:pPr>
        <w:pStyle w:val="FootnoteText"/>
        <w:spacing w:before="0" w:after="0"/>
        <w:ind w:left="142" w:hanging="142"/>
        <w:rPr>
          <w:rFonts w:ascii="Times New Roman" w:hAnsi="Times New Roman"/>
          <w:lang w:val="es-ES_tradnl"/>
        </w:rPr>
      </w:pPr>
      <w:r w:rsidRPr="00D56F37">
        <w:rPr>
          <w:rStyle w:val="FootnoteReference"/>
          <w:rFonts w:ascii="Times New Roman" w:hAnsi="Times New Roman"/>
        </w:rPr>
        <w:footnoteRef/>
      </w:r>
      <w:r w:rsidRPr="00D56F37">
        <w:rPr>
          <w:rFonts w:ascii="Times New Roman" w:hAnsi="Times New Roman"/>
        </w:rPr>
        <w:tab/>
        <w:t>La moneda de la oferta será la moneda del contrato y la moneda de los pagos.</w:t>
      </w:r>
    </w:p>
  </w:footnote>
  <w:footnote w:id="4">
    <w:p w:rsidR="0057754C" w:rsidRPr="00D56F37" w:rsidRDefault="0057754C" w:rsidP="00D56F37">
      <w:pPr>
        <w:pStyle w:val="FootnoteText"/>
        <w:spacing w:before="0" w:after="0"/>
        <w:rPr>
          <w:rFonts w:ascii="Times New Roman" w:hAnsi="Times New Roman"/>
          <w:color w:val="FF0000"/>
          <w:lang w:val="es-ES_tradnl"/>
        </w:rPr>
      </w:pPr>
      <w:r w:rsidRPr="00D56F37">
        <w:rPr>
          <w:rStyle w:val="FootnoteReference"/>
          <w:rFonts w:ascii="Times New Roman" w:hAnsi="Times New Roman"/>
        </w:rPr>
        <w:footnoteRef/>
      </w:r>
      <w:r w:rsidRPr="00D56F37">
        <w:rPr>
          <w:rFonts w:ascii="Times New Roman" w:hAnsi="Times New Roman"/>
          <w:lang w:val="es-ES_tradnl"/>
        </w:rPr>
        <w:t xml:space="preserve"> </w:t>
      </w:r>
      <w:r w:rsidRPr="00D56F37">
        <w:rPr>
          <w:rFonts w:ascii="Times New Roman" w:hAnsi="Times New Roman"/>
        </w:rPr>
        <w:t>Se recomienda utilizar el correo certificado en caso de que el matasellos no sea legible.</w:t>
      </w:r>
    </w:p>
  </w:footnote>
  <w:footnote w:id="5">
    <w:p w:rsidR="0057754C" w:rsidRPr="00D56F37" w:rsidRDefault="0057754C" w:rsidP="00D56F37">
      <w:pPr>
        <w:pStyle w:val="FootnoteText"/>
        <w:spacing w:before="0" w:after="0"/>
        <w:ind w:left="142" w:hanging="142"/>
        <w:rPr>
          <w:rFonts w:ascii="Times New Roman" w:hAnsi="Times New Roman"/>
          <w:lang w:val="es-ES_tradnl"/>
        </w:rPr>
      </w:pPr>
      <w:r w:rsidRPr="00D56F37">
        <w:rPr>
          <w:rStyle w:val="FootnoteReference"/>
          <w:rFonts w:ascii="Times New Roman" w:hAnsi="Times New Roman"/>
        </w:rPr>
        <w:footnoteRef/>
      </w:r>
      <w:r w:rsidRPr="00D56F37">
        <w:rPr>
          <w:rFonts w:ascii="Times New Roman" w:hAnsi="Times New Roman"/>
        </w:rPr>
        <w:tab/>
        <w:t>[&lt;</w:t>
      </w:r>
      <w:r w:rsidRPr="00D56F37">
        <w:rPr>
          <w:rFonts w:ascii="Times New Roman" w:hAnsi="Times New Roman"/>
          <w:highlight w:val="yellow"/>
        </w:rPr>
        <w:t>DDP (</w:t>
      </w:r>
      <w:r w:rsidRPr="00D56F37">
        <w:rPr>
          <w:rFonts w:ascii="Times New Roman" w:hAnsi="Times New Roman"/>
          <w:i/>
          <w:highlight w:val="yellow"/>
        </w:rPr>
        <w:t>Delivered duty paid</w:t>
      </w:r>
      <w:r w:rsidRPr="00D56F37">
        <w:rPr>
          <w:rFonts w:ascii="Times New Roman" w:hAnsi="Times New Roman"/>
          <w:highlight w:val="yellow"/>
        </w:rPr>
        <w:t xml:space="preserve"> - Entregado con derechos abonados) / DAP (</w:t>
      </w:r>
      <w:r w:rsidRPr="00D56F37">
        <w:rPr>
          <w:rFonts w:ascii="Times New Roman" w:hAnsi="Times New Roman"/>
          <w:i/>
          <w:highlight w:val="yellow"/>
        </w:rPr>
        <w:t>Delivered at place</w:t>
      </w:r>
      <w:r w:rsidRPr="00D56F37">
        <w:rPr>
          <w:rFonts w:ascii="Times New Roman" w:hAnsi="Times New Roman"/>
          <w:highlight w:val="yellow"/>
        </w:rPr>
        <w:t xml:space="preserve"> - Entrega en un punto)</w:t>
      </w:r>
      <w:r w:rsidRPr="00D56F37">
        <w:rPr>
          <w:rFonts w:ascii="Times New Roman" w:hAnsi="Times New Roman"/>
        </w:rPr>
        <w:t>&gt;] — Incoterms 20</w:t>
      </w:r>
      <w:r w:rsidR="00614648">
        <w:rPr>
          <w:rFonts w:ascii="Times New Roman" w:hAnsi="Times New Roman"/>
        </w:rPr>
        <w:t>2</w:t>
      </w:r>
      <w:r w:rsidRPr="00D56F37">
        <w:rPr>
          <w:rFonts w:ascii="Times New Roman" w:hAnsi="Times New Roman"/>
        </w:rPr>
        <w:t>0 Cámara Internacional de Comercio</w:t>
      </w:r>
      <w:r w:rsidR="00614648">
        <w:rPr>
          <w:rFonts w:ascii="Times New Roman" w:hAnsi="Times New Roman"/>
        </w:rPr>
        <w:t xml:space="preserve"> </w:t>
      </w:r>
      <w:hyperlink r:id="rId2" w:history="1">
        <w:r w:rsidR="00614648" w:rsidRPr="00D95C80">
          <w:rPr>
            <w:rStyle w:val="Hyperlink"/>
            <w:rFonts w:ascii="Times New Roman" w:hAnsi="Times New Roman"/>
          </w:rPr>
          <w:t>http://www.iccwbo.org/incoterms/</w:t>
        </w:r>
      </w:hyperlink>
      <w:r w:rsidR="00614648" w:rsidRPr="00D95C80">
        <w:rPr>
          <w:rStyle w:val="Hyperlink"/>
          <w:rFonts w:ascii="Times New Roman" w:hAnsi="Times New Roman"/>
        </w:rPr>
        <w:t xml:space="preserve"> </w:t>
      </w:r>
      <w:r w:rsidR="00614648" w:rsidRPr="00D95C80">
        <w:rPr>
          <w:rStyle w:val="Hyperlink"/>
        </w:rPr>
        <w:t xml:space="preserve"> </w:t>
      </w:r>
      <w:r w:rsidRPr="00D56F37">
        <w:rPr>
          <w:rFonts w:ascii="Times New Roman" w:hAnsi="Times New Roman"/>
        </w:rPr>
        <w:t>.</w:t>
      </w:r>
    </w:p>
  </w:footnote>
  <w:footnote w:id="6">
    <w:p w:rsidR="00E47370" w:rsidRPr="007019C1" w:rsidRDefault="00E47370" w:rsidP="007019C1">
      <w:pPr>
        <w:pStyle w:val="FootnoteText"/>
        <w:jc w:val="both"/>
        <w:rPr>
          <w:rFonts w:ascii="Times New Roman" w:hAnsi="Times New Roman"/>
        </w:rPr>
      </w:pPr>
      <w:r w:rsidRPr="007019C1">
        <w:rPr>
          <w:rStyle w:val="FootnoteReference"/>
          <w:rFonts w:ascii="Times New Roman" w:eastAsia="Calibri" w:hAnsi="Times New Roman"/>
        </w:rPr>
        <w:footnoteRef/>
      </w:r>
      <w:r w:rsidRPr="007019C1">
        <w:rPr>
          <w:rFonts w:ascii="Times New Roman" w:hAnsi="Times New Roman"/>
        </w:rPr>
        <w:t xml:space="preserve">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 DO L 295 de 21.11.2018, p. 39. </w:t>
      </w:r>
    </w:p>
  </w:footnote>
  <w:footnote w:id="7">
    <w:p w:rsidR="00E47370" w:rsidRPr="007019C1" w:rsidRDefault="00E47370" w:rsidP="00E47370">
      <w:pPr>
        <w:pStyle w:val="FootnoteText"/>
        <w:rPr>
          <w:rFonts w:ascii="Times New Roman" w:hAnsi="Times New Roman"/>
        </w:rPr>
      </w:pPr>
      <w:r w:rsidRPr="007019C1">
        <w:rPr>
          <w:rStyle w:val="FootnoteReference"/>
          <w:rFonts w:ascii="Times New Roman" w:eastAsia="Calibri" w:hAnsi="Times New Roman"/>
        </w:rPr>
        <w:footnoteRef/>
      </w:r>
      <w:r w:rsidRPr="007019C1">
        <w:rPr>
          <w:rFonts w:ascii="Times New Roman" w:hAnsi="Times New Roman"/>
        </w:rPr>
        <w:t xml:space="preserve"> Este enlace le llevará a la «Declaración de privacidad de EuropeAid», publicada en los anexos generales del PRAG (véase el anexo A13).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07A158F"/>
    <w:multiLevelType w:val="hybridMultilevel"/>
    <w:tmpl w:val="BB8A3B9E"/>
    <w:lvl w:ilvl="0" w:tplc="E25A43E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2146E7CA"/>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0"/>
  </w:num>
  <w:num w:numId="3">
    <w:abstractNumId w:val="9"/>
  </w:num>
  <w:num w:numId="4">
    <w:abstractNumId w:val="12"/>
  </w:num>
  <w:num w:numId="5">
    <w:abstractNumId w:val="22"/>
  </w:num>
  <w:num w:numId="6">
    <w:abstractNumId w:val="7"/>
  </w:num>
  <w:num w:numId="7">
    <w:abstractNumId w:val="4"/>
  </w:num>
  <w:num w:numId="8">
    <w:abstractNumId w:val="1"/>
  </w:num>
  <w:num w:numId="9">
    <w:abstractNumId w:val="13"/>
  </w:num>
  <w:num w:numId="10">
    <w:abstractNumId w:val="3"/>
  </w:num>
  <w:num w:numId="11">
    <w:abstractNumId w:val="19"/>
  </w:num>
  <w:num w:numId="12">
    <w:abstractNumId w:val="11"/>
  </w:num>
  <w:num w:numId="13">
    <w:abstractNumId w:val="5"/>
  </w:num>
  <w:num w:numId="14">
    <w:abstractNumId w:val="17"/>
  </w:num>
  <w:num w:numId="15">
    <w:abstractNumId w:val="18"/>
  </w:num>
  <w:num w:numId="16">
    <w:abstractNumId w:val="6"/>
  </w:num>
  <w:num w:numId="17">
    <w:abstractNumId w:val="14"/>
  </w:num>
  <w:num w:numId="18">
    <w:abstractNumId w:val="10"/>
  </w:num>
  <w:num w:numId="19">
    <w:abstractNumId w:val="10"/>
  </w:num>
  <w:num w:numId="20">
    <w:abstractNumId w:val="23"/>
  </w:num>
  <w:num w:numId="21">
    <w:abstractNumId w:val="16"/>
  </w:num>
  <w:num w:numId="22">
    <w:abstractNumId w:val="15"/>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8"/>
  </w:num>
  <w:num w:numId="28">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177A0"/>
    <w:rsid w:val="00022662"/>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4E91"/>
    <w:rsid w:val="000665DF"/>
    <w:rsid w:val="00066CBA"/>
    <w:rsid w:val="000714BB"/>
    <w:rsid w:val="0007671B"/>
    <w:rsid w:val="0008592A"/>
    <w:rsid w:val="00085CA1"/>
    <w:rsid w:val="00087F35"/>
    <w:rsid w:val="00090987"/>
    <w:rsid w:val="0009286D"/>
    <w:rsid w:val="000A1A71"/>
    <w:rsid w:val="000A3B36"/>
    <w:rsid w:val="000A7A2C"/>
    <w:rsid w:val="000A7CF7"/>
    <w:rsid w:val="000B0983"/>
    <w:rsid w:val="000B1236"/>
    <w:rsid w:val="000B79F6"/>
    <w:rsid w:val="000C4AE6"/>
    <w:rsid w:val="000C56B2"/>
    <w:rsid w:val="000C6E69"/>
    <w:rsid w:val="000C7B15"/>
    <w:rsid w:val="000D0118"/>
    <w:rsid w:val="000D1CDA"/>
    <w:rsid w:val="000D24E3"/>
    <w:rsid w:val="000D2B44"/>
    <w:rsid w:val="000D40DB"/>
    <w:rsid w:val="000D66C0"/>
    <w:rsid w:val="000E0DB4"/>
    <w:rsid w:val="000E291F"/>
    <w:rsid w:val="000E3BEA"/>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677D"/>
    <w:rsid w:val="0013002E"/>
    <w:rsid w:val="001302A7"/>
    <w:rsid w:val="001309AB"/>
    <w:rsid w:val="00130EF1"/>
    <w:rsid w:val="001320DF"/>
    <w:rsid w:val="00132F8A"/>
    <w:rsid w:val="0014659F"/>
    <w:rsid w:val="00150767"/>
    <w:rsid w:val="001515E4"/>
    <w:rsid w:val="001536B3"/>
    <w:rsid w:val="00153BD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46B2"/>
    <w:rsid w:val="001B5454"/>
    <w:rsid w:val="001C29C2"/>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AB3"/>
    <w:rsid w:val="00224C44"/>
    <w:rsid w:val="00225CDC"/>
    <w:rsid w:val="002270DE"/>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6401"/>
    <w:rsid w:val="002B7402"/>
    <w:rsid w:val="002C649A"/>
    <w:rsid w:val="002D0CE1"/>
    <w:rsid w:val="002D1FCC"/>
    <w:rsid w:val="002D2FC0"/>
    <w:rsid w:val="002D49AD"/>
    <w:rsid w:val="002D6EED"/>
    <w:rsid w:val="002E105B"/>
    <w:rsid w:val="002E1FB2"/>
    <w:rsid w:val="002F1222"/>
    <w:rsid w:val="002F530E"/>
    <w:rsid w:val="002F6309"/>
    <w:rsid w:val="00301220"/>
    <w:rsid w:val="003051AA"/>
    <w:rsid w:val="003061F8"/>
    <w:rsid w:val="00306DE6"/>
    <w:rsid w:val="003205A4"/>
    <w:rsid w:val="00322263"/>
    <w:rsid w:val="003225BF"/>
    <w:rsid w:val="003308C6"/>
    <w:rsid w:val="003320FF"/>
    <w:rsid w:val="0033212F"/>
    <w:rsid w:val="00335E06"/>
    <w:rsid w:val="003409B8"/>
    <w:rsid w:val="00343102"/>
    <w:rsid w:val="00343AD4"/>
    <w:rsid w:val="00347B7E"/>
    <w:rsid w:val="003502E9"/>
    <w:rsid w:val="0035089B"/>
    <w:rsid w:val="00351351"/>
    <w:rsid w:val="003551F4"/>
    <w:rsid w:val="003568F8"/>
    <w:rsid w:val="00360344"/>
    <w:rsid w:val="003613D2"/>
    <w:rsid w:val="00370524"/>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C0747"/>
    <w:rsid w:val="003C17BD"/>
    <w:rsid w:val="003C7266"/>
    <w:rsid w:val="003D2078"/>
    <w:rsid w:val="003D3CAA"/>
    <w:rsid w:val="003D7011"/>
    <w:rsid w:val="003D7611"/>
    <w:rsid w:val="003E3F71"/>
    <w:rsid w:val="003E4DCA"/>
    <w:rsid w:val="003E7C71"/>
    <w:rsid w:val="003F2FA4"/>
    <w:rsid w:val="003F3B51"/>
    <w:rsid w:val="003F3D45"/>
    <w:rsid w:val="003F4953"/>
    <w:rsid w:val="003F6D98"/>
    <w:rsid w:val="003F7489"/>
    <w:rsid w:val="003F7AF5"/>
    <w:rsid w:val="003F7DB7"/>
    <w:rsid w:val="0040221E"/>
    <w:rsid w:val="0040595A"/>
    <w:rsid w:val="004072FA"/>
    <w:rsid w:val="004133E9"/>
    <w:rsid w:val="00420666"/>
    <w:rsid w:val="00421363"/>
    <w:rsid w:val="00424582"/>
    <w:rsid w:val="004300D4"/>
    <w:rsid w:val="004316F0"/>
    <w:rsid w:val="004365AD"/>
    <w:rsid w:val="004434F8"/>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5EEE"/>
    <w:rsid w:val="004A7ED9"/>
    <w:rsid w:val="004B5C33"/>
    <w:rsid w:val="004C265E"/>
    <w:rsid w:val="004C35B5"/>
    <w:rsid w:val="004D2FD8"/>
    <w:rsid w:val="004D6D1E"/>
    <w:rsid w:val="004E0577"/>
    <w:rsid w:val="004F1264"/>
    <w:rsid w:val="004F5C57"/>
    <w:rsid w:val="005005D7"/>
    <w:rsid w:val="00501FF0"/>
    <w:rsid w:val="00515616"/>
    <w:rsid w:val="00516552"/>
    <w:rsid w:val="00523D9E"/>
    <w:rsid w:val="00526134"/>
    <w:rsid w:val="00533C8D"/>
    <w:rsid w:val="00535826"/>
    <w:rsid w:val="00536B4A"/>
    <w:rsid w:val="00537189"/>
    <w:rsid w:val="00545957"/>
    <w:rsid w:val="00552278"/>
    <w:rsid w:val="00555BFC"/>
    <w:rsid w:val="00556923"/>
    <w:rsid w:val="005634B2"/>
    <w:rsid w:val="00575CB0"/>
    <w:rsid w:val="0057754C"/>
    <w:rsid w:val="00580F0C"/>
    <w:rsid w:val="00582894"/>
    <w:rsid w:val="00586D6C"/>
    <w:rsid w:val="00591F23"/>
    <w:rsid w:val="00593550"/>
    <w:rsid w:val="0059371A"/>
    <w:rsid w:val="005A342C"/>
    <w:rsid w:val="005A3B57"/>
    <w:rsid w:val="005B2018"/>
    <w:rsid w:val="005B3034"/>
    <w:rsid w:val="005B35D7"/>
    <w:rsid w:val="005C0EA1"/>
    <w:rsid w:val="005D72F7"/>
    <w:rsid w:val="005E0B76"/>
    <w:rsid w:val="005E2EE8"/>
    <w:rsid w:val="005F3C51"/>
    <w:rsid w:val="005F62D0"/>
    <w:rsid w:val="005F6B3B"/>
    <w:rsid w:val="00613E4C"/>
    <w:rsid w:val="00614648"/>
    <w:rsid w:val="00614AE9"/>
    <w:rsid w:val="006164B8"/>
    <w:rsid w:val="0062259D"/>
    <w:rsid w:val="00625361"/>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0A52"/>
    <w:rsid w:val="00677500"/>
    <w:rsid w:val="0068247E"/>
    <w:rsid w:val="00682804"/>
    <w:rsid w:val="0069153C"/>
    <w:rsid w:val="006917B2"/>
    <w:rsid w:val="00692095"/>
    <w:rsid w:val="006A5F84"/>
    <w:rsid w:val="006B0AB1"/>
    <w:rsid w:val="006B3EAE"/>
    <w:rsid w:val="006C2F05"/>
    <w:rsid w:val="006C513D"/>
    <w:rsid w:val="006D22ED"/>
    <w:rsid w:val="006D3BA1"/>
    <w:rsid w:val="006D4CEC"/>
    <w:rsid w:val="006E56FD"/>
    <w:rsid w:val="006E6880"/>
    <w:rsid w:val="006F43E5"/>
    <w:rsid w:val="006F4753"/>
    <w:rsid w:val="007019C1"/>
    <w:rsid w:val="00702131"/>
    <w:rsid w:val="00705C62"/>
    <w:rsid w:val="00710379"/>
    <w:rsid w:val="00710F13"/>
    <w:rsid w:val="00711C72"/>
    <w:rsid w:val="0071243A"/>
    <w:rsid w:val="00723C11"/>
    <w:rsid w:val="00724D0C"/>
    <w:rsid w:val="007307A9"/>
    <w:rsid w:val="0073450F"/>
    <w:rsid w:val="007423EF"/>
    <w:rsid w:val="0075384B"/>
    <w:rsid w:val="00754D2B"/>
    <w:rsid w:val="007563BB"/>
    <w:rsid w:val="007600CA"/>
    <w:rsid w:val="00760195"/>
    <w:rsid w:val="007625F7"/>
    <w:rsid w:val="00763B1C"/>
    <w:rsid w:val="007666CD"/>
    <w:rsid w:val="00775749"/>
    <w:rsid w:val="00776BF7"/>
    <w:rsid w:val="00777E99"/>
    <w:rsid w:val="00785050"/>
    <w:rsid w:val="0078676B"/>
    <w:rsid w:val="00787CA0"/>
    <w:rsid w:val="00792A1B"/>
    <w:rsid w:val="0079405A"/>
    <w:rsid w:val="007A0045"/>
    <w:rsid w:val="007A01BB"/>
    <w:rsid w:val="007A0C47"/>
    <w:rsid w:val="007B65DB"/>
    <w:rsid w:val="007C0BDD"/>
    <w:rsid w:val="007C1656"/>
    <w:rsid w:val="007C6835"/>
    <w:rsid w:val="007C75E0"/>
    <w:rsid w:val="007D354B"/>
    <w:rsid w:val="007D5FA2"/>
    <w:rsid w:val="007E0CD5"/>
    <w:rsid w:val="007E2B61"/>
    <w:rsid w:val="007E3D5F"/>
    <w:rsid w:val="007E597D"/>
    <w:rsid w:val="007E7B65"/>
    <w:rsid w:val="007F6802"/>
    <w:rsid w:val="00806CE0"/>
    <w:rsid w:val="00811F58"/>
    <w:rsid w:val="0081263E"/>
    <w:rsid w:val="0081418B"/>
    <w:rsid w:val="00814C3A"/>
    <w:rsid w:val="00815C27"/>
    <w:rsid w:val="008162CA"/>
    <w:rsid w:val="008227A5"/>
    <w:rsid w:val="00822E7E"/>
    <w:rsid w:val="008272ED"/>
    <w:rsid w:val="00830ACF"/>
    <w:rsid w:val="00853F9D"/>
    <w:rsid w:val="0085667F"/>
    <w:rsid w:val="00857F50"/>
    <w:rsid w:val="008617F3"/>
    <w:rsid w:val="008670ED"/>
    <w:rsid w:val="00870FD6"/>
    <w:rsid w:val="008718AA"/>
    <w:rsid w:val="00872830"/>
    <w:rsid w:val="008808CB"/>
    <w:rsid w:val="008826B1"/>
    <w:rsid w:val="008847D1"/>
    <w:rsid w:val="00885882"/>
    <w:rsid w:val="008859E6"/>
    <w:rsid w:val="00891D12"/>
    <w:rsid w:val="00892CE9"/>
    <w:rsid w:val="008934F5"/>
    <w:rsid w:val="00894736"/>
    <w:rsid w:val="008A048D"/>
    <w:rsid w:val="008A0A2A"/>
    <w:rsid w:val="008A39B7"/>
    <w:rsid w:val="008C14A7"/>
    <w:rsid w:val="008C4E79"/>
    <w:rsid w:val="008C5A40"/>
    <w:rsid w:val="008C5DAA"/>
    <w:rsid w:val="008D3588"/>
    <w:rsid w:val="008E40E2"/>
    <w:rsid w:val="008F3866"/>
    <w:rsid w:val="008F3D27"/>
    <w:rsid w:val="009143FD"/>
    <w:rsid w:val="00920A51"/>
    <w:rsid w:val="00922542"/>
    <w:rsid w:val="009251E3"/>
    <w:rsid w:val="0093582A"/>
    <w:rsid w:val="009423FB"/>
    <w:rsid w:val="009424C1"/>
    <w:rsid w:val="00945605"/>
    <w:rsid w:val="0094670B"/>
    <w:rsid w:val="00947FC3"/>
    <w:rsid w:val="00950813"/>
    <w:rsid w:val="009514EC"/>
    <w:rsid w:val="00980A42"/>
    <w:rsid w:val="009976B3"/>
    <w:rsid w:val="009A3792"/>
    <w:rsid w:val="009A3A53"/>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9CA"/>
    <w:rsid w:val="00A043F5"/>
    <w:rsid w:val="00A04FBF"/>
    <w:rsid w:val="00A05983"/>
    <w:rsid w:val="00A068EC"/>
    <w:rsid w:val="00A11F12"/>
    <w:rsid w:val="00A1746F"/>
    <w:rsid w:val="00A2696E"/>
    <w:rsid w:val="00A4194A"/>
    <w:rsid w:val="00A42161"/>
    <w:rsid w:val="00A4424B"/>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3993"/>
    <w:rsid w:val="00AA4766"/>
    <w:rsid w:val="00AB26E0"/>
    <w:rsid w:val="00AB29A9"/>
    <w:rsid w:val="00AB3AB0"/>
    <w:rsid w:val="00AB5ED5"/>
    <w:rsid w:val="00AB66A5"/>
    <w:rsid w:val="00AC07D4"/>
    <w:rsid w:val="00AC08A0"/>
    <w:rsid w:val="00AC1FFD"/>
    <w:rsid w:val="00AC2621"/>
    <w:rsid w:val="00AC7636"/>
    <w:rsid w:val="00AD0D7A"/>
    <w:rsid w:val="00AD5536"/>
    <w:rsid w:val="00AE5192"/>
    <w:rsid w:val="00AE6600"/>
    <w:rsid w:val="00AE7D13"/>
    <w:rsid w:val="00AF2A32"/>
    <w:rsid w:val="00AF4052"/>
    <w:rsid w:val="00AF47CA"/>
    <w:rsid w:val="00AF507E"/>
    <w:rsid w:val="00B047C3"/>
    <w:rsid w:val="00B07102"/>
    <w:rsid w:val="00B1020F"/>
    <w:rsid w:val="00B1165D"/>
    <w:rsid w:val="00B14A88"/>
    <w:rsid w:val="00B17A53"/>
    <w:rsid w:val="00B2499C"/>
    <w:rsid w:val="00B277E4"/>
    <w:rsid w:val="00B30528"/>
    <w:rsid w:val="00B3168E"/>
    <w:rsid w:val="00B3411B"/>
    <w:rsid w:val="00B41F29"/>
    <w:rsid w:val="00B443C3"/>
    <w:rsid w:val="00B44B08"/>
    <w:rsid w:val="00B44DC5"/>
    <w:rsid w:val="00B4644C"/>
    <w:rsid w:val="00B46AEA"/>
    <w:rsid w:val="00B4772C"/>
    <w:rsid w:val="00B51209"/>
    <w:rsid w:val="00B569B1"/>
    <w:rsid w:val="00B61CED"/>
    <w:rsid w:val="00B63280"/>
    <w:rsid w:val="00B70469"/>
    <w:rsid w:val="00B70C0E"/>
    <w:rsid w:val="00B7147A"/>
    <w:rsid w:val="00B7329A"/>
    <w:rsid w:val="00B76124"/>
    <w:rsid w:val="00B76776"/>
    <w:rsid w:val="00B80DE8"/>
    <w:rsid w:val="00B8161D"/>
    <w:rsid w:val="00B84EBC"/>
    <w:rsid w:val="00B85B2C"/>
    <w:rsid w:val="00B86755"/>
    <w:rsid w:val="00B90C14"/>
    <w:rsid w:val="00B965CD"/>
    <w:rsid w:val="00B9691D"/>
    <w:rsid w:val="00B96E4B"/>
    <w:rsid w:val="00BA204C"/>
    <w:rsid w:val="00BA70CB"/>
    <w:rsid w:val="00BB0156"/>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AF0"/>
    <w:rsid w:val="00C13C29"/>
    <w:rsid w:val="00C17310"/>
    <w:rsid w:val="00C24AB5"/>
    <w:rsid w:val="00C255E8"/>
    <w:rsid w:val="00C302E1"/>
    <w:rsid w:val="00C3235B"/>
    <w:rsid w:val="00C34E40"/>
    <w:rsid w:val="00C350C3"/>
    <w:rsid w:val="00C41328"/>
    <w:rsid w:val="00C413E2"/>
    <w:rsid w:val="00C41919"/>
    <w:rsid w:val="00C42CAE"/>
    <w:rsid w:val="00C54801"/>
    <w:rsid w:val="00C61312"/>
    <w:rsid w:val="00C720C8"/>
    <w:rsid w:val="00C75CCE"/>
    <w:rsid w:val="00C778A1"/>
    <w:rsid w:val="00C8328B"/>
    <w:rsid w:val="00C85C8A"/>
    <w:rsid w:val="00C86724"/>
    <w:rsid w:val="00C87F4C"/>
    <w:rsid w:val="00C92434"/>
    <w:rsid w:val="00CA1354"/>
    <w:rsid w:val="00CA618A"/>
    <w:rsid w:val="00CA6C68"/>
    <w:rsid w:val="00CB3E27"/>
    <w:rsid w:val="00CB4E1D"/>
    <w:rsid w:val="00CC7DE2"/>
    <w:rsid w:val="00CD7BFB"/>
    <w:rsid w:val="00CD7F25"/>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273BE"/>
    <w:rsid w:val="00D300EE"/>
    <w:rsid w:val="00D312D2"/>
    <w:rsid w:val="00D331DB"/>
    <w:rsid w:val="00D33BE3"/>
    <w:rsid w:val="00D43612"/>
    <w:rsid w:val="00D44362"/>
    <w:rsid w:val="00D4697C"/>
    <w:rsid w:val="00D52CBF"/>
    <w:rsid w:val="00D56F37"/>
    <w:rsid w:val="00D576CA"/>
    <w:rsid w:val="00D62067"/>
    <w:rsid w:val="00D662AA"/>
    <w:rsid w:val="00D66F04"/>
    <w:rsid w:val="00D678AC"/>
    <w:rsid w:val="00D71AF3"/>
    <w:rsid w:val="00D735D6"/>
    <w:rsid w:val="00D73E36"/>
    <w:rsid w:val="00D75213"/>
    <w:rsid w:val="00D83D1B"/>
    <w:rsid w:val="00D8732D"/>
    <w:rsid w:val="00D90043"/>
    <w:rsid w:val="00D92BA6"/>
    <w:rsid w:val="00D93F90"/>
    <w:rsid w:val="00D950BA"/>
    <w:rsid w:val="00D95C80"/>
    <w:rsid w:val="00D979C6"/>
    <w:rsid w:val="00DA178A"/>
    <w:rsid w:val="00DA4AB8"/>
    <w:rsid w:val="00DA4D57"/>
    <w:rsid w:val="00DB5C6C"/>
    <w:rsid w:val="00DC50E2"/>
    <w:rsid w:val="00DC54A0"/>
    <w:rsid w:val="00DC6C9C"/>
    <w:rsid w:val="00DD005F"/>
    <w:rsid w:val="00DD0624"/>
    <w:rsid w:val="00DD13B0"/>
    <w:rsid w:val="00DE0E27"/>
    <w:rsid w:val="00DE13B8"/>
    <w:rsid w:val="00DE19B1"/>
    <w:rsid w:val="00DE7055"/>
    <w:rsid w:val="00DE71AB"/>
    <w:rsid w:val="00DF25C5"/>
    <w:rsid w:val="00DF2FF3"/>
    <w:rsid w:val="00DF7145"/>
    <w:rsid w:val="00DF7327"/>
    <w:rsid w:val="00E0295D"/>
    <w:rsid w:val="00E10B1C"/>
    <w:rsid w:val="00E111AC"/>
    <w:rsid w:val="00E13CDE"/>
    <w:rsid w:val="00E14817"/>
    <w:rsid w:val="00E168E3"/>
    <w:rsid w:val="00E213A7"/>
    <w:rsid w:val="00E215DF"/>
    <w:rsid w:val="00E2190B"/>
    <w:rsid w:val="00E2682A"/>
    <w:rsid w:val="00E27678"/>
    <w:rsid w:val="00E340A7"/>
    <w:rsid w:val="00E34208"/>
    <w:rsid w:val="00E37290"/>
    <w:rsid w:val="00E37A55"/>
    <w:rsid w:val="00E41C6F"/>
    <w:rsid w:val="00E47370"/>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043F"/>
    <w:rsid w:val="00E95C73"/>
    <w:rsid w:val="00EA75C1"/>
    <w:rsid w:val="00EB3B91"/>
    <w:rsid w:val="00EB6207"/>
    <w:rsid w:val="00EB78F4"/>
    <w:rsid w:val="00EC0DD2"/>
    <w:rsid w:val="00EC16F8"/>
    <w:rsid w:val="00EC48C8"/>
    <w:rsid w:val="00EE0ED9"/>
    <w:rsid w:val="00EE109E"/>
    <w:rsid w:val="00EE23B1"/>
    <w:rsid w:val="00EE2E55"/>
    <w:rsid w:val="00EE60BA"/>
    <w:rsid w:val="00EE6BC0"/>
    <w:rsid w:val="00EF1C05"/>
    <w:rsid w:val="00EF3951"/>
    <w:rsid w:val="00EF6426"/>
    <w:rsid w:val="00F01A04"/>
    <w:rsid w:val="00F02006"/>
    <w:rsid w:val="00F041A6"/>
    <w:rsid w:val="00F0574A"/>
    <w:rsid w:val="00F104ED"/>
    <w:rsid w:val="00F10944"/>
    <w:rsid w:val="00F25C38"/>
    <w:rsid w:val="00F30D59"/>
    <w:rsid w:val="00F33A99"/>
    <w:rsid w:val="00F45106"/>
    <w:rsid w:val="00F4528C"/>
    <w:rsid w:val="00F56D4C"/>
    <w:rsid w:val="00F6260B"/>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C7EC5"/>
    <w:rsid w:val="00FD1E3F"/>
    <w:rsid w:val="00FD23CD"/>
    <w:rsid w:val="00FD4F5A"/>
    <w:rsid w:val="00FD68B9"/>
    <w:rsid w:val="00FD6CB9"/>
    <w:rsid w:val="00FD7D89"/>
    <w:rsid w:val="00FE3081"/>
    <w:rsid w:val="00FE3E3B"/>
    <w:rsid w:val="00FE7D87"/>
    <w:rsid w:val="00FF57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2C20BE-8BE0-4010-9AB8-75C27551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rPr>
  </w:style>
  <w:style w:type="paragraph" w:styleId="Heading1">
    <w:name w:val="heading 1"/>
    <w:basedOn w:val="Normal"/>
    <w:next w:val="Normal"/>
    <w:link w:val="Heading1Char1"/>
    <w:autoRedefine/>
    <w:qFormat/>
    <w:rsid w:val="00710F13"/>
    <w:pPr>
      <w:keepNext/>
      <w:numPr>
        <w:numId w:val="2"/>
      </w:numPr>
      <w:spacing w:before="240" w:after="240"/>
      <w:jc w:val="both"/>
      <w:outlineLvl w:val="0"/>
    </w:pPr>
    <w:rPr>
      <w:rFonts w:ascii="Times New Roman" w:hAnsi="Times New Roman"/>
      <w:b/>
      <w:sz w:val="28"/>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es-ES" w:eastAsia="es-ES" w:bidi="es-ES"/>
    </w:rPr>
  </w:style>
  <w:style w:type="character" w:customStyle="1" w:styleId="Heading1Char1">
    <w:name w:val="Heading 1 Char1"/>
    <w:link w:val="Heading1"/>
    <w:rsid w:val="00710F13"/>
    <w:rPr>
      <w:b/>
      <w:snapToGrid w:val="0"/>
      <w:sz w:val="28"/>
    </w:rPr>
  </w:style>
  <w:style w:type="character" w:customStyle="1" w:styleId="Heading1Char">
    <w:name w:val="Heading 1 Char"/>
    <w:locked/>
    <w:rsid w:val="0047783A"/>
    <w:rPr>
      <w:b/>
      <w:sz w:val="24"/>
      <w:szCs w:val="24"/>
      <w:lang w:val="es-ES" w:eastAsia="es-ES" w:bidi="es-ES"/>
    </w:rPr>
  </w:style>
  <w:style w:type="character" w:customStyle="1" w:styleId="Heading3Char">
    <w:name w:val="Heading 3 Char"/>
    <w:link w:val="Heading3"/>
    <w:semiHidden/>
    <w:locked/>
    <w:rsid w:val="0047783A"/>
    <w:rPr>
      <w:rFonts w:ascii="Arial" w:hAnsi="Arial"/>
      <w:snapToGrid w:val="0"/>
      <w:lang w:val="es-ES" w:eastAsia="es-ES" w:bidi="es-ES"/>
    </w:rPr>
  </w:style>
  <w:style w:type="character" w:customStyle="1" w:styleId="Heading4Char">
    <w:name w:val="Heading 4 Char"/>
    <w:link w:val="Heading4"/>
    <w:semiHidden/>
    <w:locked/>
    <w:rsid w:val="0047783A"/>
    <w:rPr>
      <w:rFonts w:ascii="Arial" w:hAnsi="Arial"/>
      <w:b/>
      <w:snapToGrid w:val="0"/>
      <w:sz w:val="24"/>
      <w:lang w:val="es-ES" w:eastAsia="es-ES" w:bidi="es-ES"/>
    </w:rPr>
  </w:style>
  <w:style w:type="character" w:customStyle="1" w:styleId="Heading5Char">
    <w:name w:val="Heading 5 Char"/>
    <w:link w:val="Heading5"/>
    <w:semiHidden/>
    <w:locked/>
    <w:rsid w:val="0047783A"/>
    <w:rPr>
      <w:rFonts w:ascii="Arial" w:hAnsi="Arial"/>
      <w:snapToGrid w:val="0"/>
      <w:sz w:val="22"/>
      <w:lang w:val="es-ES" w:eastAsia="es-ES" w:bidi="es-ES"/>
    </w:rPr>
  </w:style>
  <w:style w:type="character" w:customStyle="1" w:styleId="Heading6Char">
    <w:name w:val="Heading 6 Char"/>
    <w:link w:val="Heading6"/>
    <w:semiHidden/>
    <w:locked/>
    <w:rsid w:val="0047783A"/>
    <w:rPr>
      <w:rFonts w:ascii="Arial" w:hAnsi="Arial"/>
      <w:i/>
      <w:snapToGrid w:val="0"/>
      <w:sz w:val="22"/>
      <w:lang w:val="es-ES" w:eastAsia="es-ES" w:bidi="es-ES"/>
    </w:rPr>
  </w:style>
  <w:style w:type="character" w:customStyle="1" w:styleId="Heading7Char">
    <w:name w:val="Heading 7 Char"/>
    <w:link w:val="Heading7"/>
    <w:semiHidden/>
    <w:locked/>
    <w:rsid w:val="0047783A"/>
    <w:rPr>
      <w:rFonts w:ascii="Arial" w:hAnsi="Arial"/>
      <w:snapToGrid w:val="0"/>
      <w:lang w:val="es-ES" w:eastAsia="es-ES" w:bidi="es-ES"/>
    </w:rPr>
  </w:style>
  <w:style w:type="character" w:customStyle="1" w:styleId="Heading8Char">
    <w:name w:val="Heading 8 Char"/>
    <w:link w:val="Heading8"/>
    <w:semiHidden/>
    <w:locked/>
    <w:rsid w:val="0047783A"/>
    <w:rPr>
      <w:rFonts w:ascii="Arial" w:hAnsi="Arial"/>
      <w:i/>
      <w:snapToGrid w:val="0"/>
      <w:lang w:val="es-ES" w:eastAsia="es-ES" w:bidi="es-ES"/>
    </w:rPr>
  </w:style>
  <w:style w:type="character" w:customStyle="1" w:styleId="Heading9Char">
    <w:name w:val="Heading 9 Char"/>
    <w:link w:val="Heading9"/>
    <w:semiHidden/>
    <w:locked/>
    <w:rsid w:val="0047783A"/>
    <w:rPr>
      <w:rFonts w:ascii="Arial" w:hAnsi="Arial"/>
      <w:b/>
      <w:i/>
      <w:snapToGrid w:val="0"/>
      <w:sz w:val="18"/>
      <w:lang w:val="es-ES" w:eastAsia="es-ES" w:bidi="es-ES"/>
    </w:rPr>
  </w:style>
  <w:style w:type="character" w:customStyle="1" w:styleId="TitleChar">
    <w:name w:val="Title Char"/>
    <w:link w:val="Title"/>
    <w:locked/>
    <w:rsid w:val="0047783A"/>
    <w:rPr>
      <w:rFonts w:ascii="Arial" w:hAnsi="Arial"/>
      <w:b/>
      <w:snapToGrid w:val="0"/>
      <w:sz w:val="28"/>
      <w:lang w:val="es-ES" w:eastAsia="es-ES" w:bidi="es-ES"/>
    </w:rPr>
  </w:style>
  <w:style w:type="character" w:customStyle="1" w:styleId="SubtitleChar">
    <w:name w:val="Subtitle Char"/>
    <w:link w:val="Subtitle"/>
    <w:locked/>
    <w:rsid w:val="0047783A"/>
    <w:rPr>
      <w:rFonts w:ascii="Arial" w:hAnsi="Arial"/>
      <w:b/>
      <w:snapToGrid w:val="0"/>
      <w:sz w:val="28"/>
      <w:lang w:val="es-ES" w:eastAsia="es-ES" w:bidi="es-ES"/>
    </w:rPr>
  </w:style>
  <w:style w:type="character" w:customStyle="1" w:styleId="BodyTextIndentChar">
    <w:name w:val="Body Text Indent Char"/>
    <w:link w:val="BodyTextIndent"/>
    <w:semiHidden/>
    <w:locked/>
    <w:rsid w:val="0047783A"/>
    <w:rPr>
      <w:snapToGrid w:val="0"/>
      <w:sz w:val="24"/>
      <w:lang w:val="es-ES" w:eastAsia="es-ES" w:bidi="es-ES"/>
    </w:rPr>
  </w:style>
  <w:style w:type="character" w:customStyle="1" w:styleId="BodyTextChar">
    <w:name w:val="Body Text Char"/>
    <w:link w:val="BodyText"/>
    <w:semiHidden/>
    <w:locked/>
    <w:rsid w:val="0047783A"/>
    <w:rPr>
      <w:rFonts w:ascii="Arial" w:hAnsi="Arial"/>
      <w:snapToGrid w:val="0"/>
      <w:lang w:val="es-ES" w:eastAsia="es-ES" w:bidi="es-ES"/>
    </w:rPr>
  </w:style>
  <w:style w:type="character" w:customStyle="1" w:styleId="BodyTextIndent2Char">
    <w:name w:val="Body Text Indent 2 Char"/>
    <w:link w:val="BodyTextIndent2"/>
    <w:semiHidden/>
    <w:locked/>
    <w:rsid w:val="0047783A"/>
    <w:rPr>
      <w:rFonts w:ascii="Arial" w:hAnsi="Arial"/>
      <w:snapToGrid w:val="0"/>
      <w:sz w:val="24"/>
      <w:u w:val="single"/>
      <w:lang w:val="es-ES" w:eastAsia="es-ES" w:bidi="es-ES"/>
    </w:rPr>
  </w:style>
  <w:style w:type="character" w:customStyle="1" w:styleId="BodyTextIndent3Char">
    <w:name w:val="Body Text Indent 3 Char"/>
    <w:link w:val="BodyTextIndent3"/>
    <w:semiHidden/>
    <w:locked/>
    <w:rsid w:val="0047783A"/>
    <w:rPr>
      <w:rFonts w:ascii="Arial" w:hAnsi="Arial"/>
      <w:snapToGrid w:val="0"/>
      <w:sz w:val="24"/>
      <w:lang w:val="es-ES" w:eastAsia="es-ES" w:bidi="es-ES"/>
    </w:rPr>
  </w:style>
  <w:style w:type="character" w:customStyle="1" w:styleId="HeaderChar">
    <w:name w:val="Header Char"/>
    <w:link w:val="Header"/>
    <w:semiHidden/>
    <w:locked/>
    <w:rsid w:val="0047783A"/>
    <w:rPr>
      <w:rFonts w:ascii="Arial" w:hAnsi="Arial"/>
      <w:snapToGrid w:val="0"/>
      <w:lang w:val="es-ES" w:eastAsia="es-ES" w:bidi="es-ES"/>
    </w:rPr>
  </w:style>
  <w:style w:type="character" w:customStyle="1" w:styleId="FooterChar">
    <w:name w:val="Footer Char"/>
    <w:link w:val="Footer"/>
    <w:semiHidden/>
    <w:locked/>
    <w:rsid w:val="0047783A"/>
    <w:rPr>
      <w:rFonts w:ascii="Arial" w:hAnsi="Arial"/>
      <w:snapToGrid w:val="0"/>
      <w:lang w:val="es-ES" w:eastAsia="es-ES" w:bidi="es-ES"/>
    </w:rPr>
  </w:style>
  <w:style w:type="character" w:customStyle="1" w:styleId="BodyText3Char">
    <w:name w:val="Body Text 3 Char"/>
    <w:link w:val="BodyText3"/>
    <w:semiHidden/>
    <w:locked/>
    <w:rsid w:val="0047783A"/>
    <w:rPr>
      <w:rFonts w:ascii="Arial" w:hAnsi="Arial"/>
      <w:b/>
      <w:snapToGrid w:val="0"/>
      <w:sz w:val="24"/>
      <w:lang w:val="es-ES" w:eastAsia="es-ES" w:bidi="es-E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es-ES" w:eastAsia="es-ES" w:bidi="es-ES"/>
    </w:rPr>
  </w:style>
  <w:style w:type="character" w:customStyle="1" w:styleId="DocumentMapChar">
    <w:name w:val="Document Map Char"/>
    <w:link w:val="DocumentMap"/>
    <w:semiHidden/>
    <w:locked/>
    <w:rsid w:val="0047783A"/>
    <w:rPr>
      <w:rFonts w:ascii="Arial" w:hAnsi="Arial"/>
      <w:snapToGrid w:val="0"/>
      <w:sz w:val="24"/>
      <w:lang w:val="es-ES" w:eastAsia="es-ES" w:bidi="es-ES"/>
    </w:rPr>
  </w:style>
  <w:style w:type="character" w:customStyle="1" w:styleId="BodyText2Char">
    <w:name w:val="Body Text 2 Char"/>
    <w:link w:val="BodyText2"/>
    <w:semiHidden/>
    <w:locked/>
    <w:rsid w:val="0047783A"/>
    <w:rPr>
      <w:sz w:val="24"/>
      <w:lang w:val="es-ES" w:eastAsia="es-ES" w:bidi="es-ES"/>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rPr>
  </w:style>
  <w:style w:type="character" w:customStyle="1" w:styleId="CommentTextChar">
    <w:name w:val="Comment Text Char"/>
    <w:link w:val="CommentText"/>
    <w:rsid w:val="00DA4D57"/>
    <w:rPr>
      <w:rFonts w:ascii="Arial" w:hAnsi="Arial"/>
      <w:snapToGrid w:val="0"/>
      <w:lang w:eastAsia="es-E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styleId="Revision">
    <w:name w:val="Revision"/>
    <w:hidden/>
    <w:uiPriority w:val="99"/>
    <w:semiHidden/>
    <w:rsid w:val="00710F13"/>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407642">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14869474">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c.europa.eu/info/funding-tenders/opportunities/portal/screen/home"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4DE9B-AB41-483F-BE72-807CB38AF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19</Pages>
  <Words>9306</Words>
  <Characters>50253</Characters>
  <Application>Microsoft Office Word</Application>
  <DocSecurity>0</DocSecurity>
  <Lines>823</Lines>
  <Paragraphs>311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59248</CharactersWithSpaces>
  <SharedDoc>false</SharedDoc>
  <HLinks>
    <vt:vector size="36" baseType="variant">
      <vt:variant>
        <vt:i4>5308446</vt:i4>
      </vt:variant>
      <vt:variant>
        <vt:i4>9</vt:i4>
      </vt:variant>
      <vt:variant>
        <vt:i4>0</vt:i4>
      </vt:variant>
      <vt:variant>
        <vt:i4>5</vt:i4>
      </vt:variant>
      <vt:variant>
        <vt:lpwstr>http://ec.europa.eu/europeaid/prag/annexes.do?chapterTitleCode=A</vt:lpwstr>
      </vt:variant>
      <vt:variant>
        <vt:lpwstr/>
      </vt: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FAJARDO SORIA Isabel (DEVCO)</cp:lastModifiedBy>
  <cp:revision>36</cp:revision>
  <cp:lastPrinted>2015-12-04T10:44:00Z</cp:lastPrinted>
  <dcterms:created xsi:type="dcterms:W3CDTF">2018-10-18T13:23:00Z</dcterms:created>
  <dcterms:modified xsi:type="dcterms:W3CDTF">2020-12-16T16:16:00Z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