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EB6B37" w:rsidRDefault="00AE38F8">
      <w:pPr>
        <w:widowControl w:val="0"/>
        <w:rPr>
          <w:lang w:val="en-GB"/>
        </w:rPr>
      </w:pPr>
      <w:bookmarkStart w:id="0" w:name="_GoBack"/>
      <w:bookmarkEnd w:id="0"/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1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1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  <w:r w:rsidR="00FC7165">
              <w:rPr>
                <w:b/>
                <w:sz w:val="20"/>
                <w:lang w:val="en-GB"/>
              </w:rPr>
              <w:t xml:space="preserve">  </w:t>
            </w:r>
          </w:p>
          <w:p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FootnoteReference"/>
                <w:sz w:val="20"/>
                <w:lang w:val="en-GB"/>
              </w:rPr>
              <w:footnoteReference w:id="1"/>
            </w:r>
            <w:r w:rsidRPr="004769A3">
              <w:rPr>
                <w:sz w:val="20"/>
                <w:lang w:val="en-GB"/>
              </w:rPr>
              <w:t>)</w:t>
            </w:r>
          </w:p>
          <w:p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Default="00F256CC" w:rsidP="00F4085E">
      <w:pPr>
        <w:widowControl w:val="0"/>
        <w:rPr>
          <w:lang w:val="en-GB"/>
        </w:rPr>
      </w:pPr>
    </w:p>
    <w:p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FootnoteReference"/>
          <w:sz w:val="22"/>
          <w:szCs w:val="22"/>
          <w:highlight w:val="yellow"/>
          <w:lang w:val="en-GB"/>
        </w:rPr>
        <w:footnoteReference w:id="2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FootnoteReference"/>
          <w:sz w:val="22"/>
          <w:szCs w:val="22"/>
          <w:highlight w:val="yellow"/>
          <w:lang w:val="en-GB"/>
        </w:rPr>
        <w:footnoteReference w:id="3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subcriteria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A20" w:rsidRDefault="00FE3A20">
      <w:r>
        <w:separator/>
      </w:r>
    </w:p>
  </w:endnote>
  <w:endnote w:type="continuationSeparator" w:id="0">
    <w:p w:rsidR="00FE3A20" w:rsidRDefault="00FE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4769A3" w:rsidP="00787C65">
    <w:pPr>
      <w:pStyle w:val="Footer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4769A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A20" w:rsidRDefault="00FE3A20">
      <w:r>
        <w:separator/>
      </w:r>
    </w:p>
  </w:footnote>
  <w:footnote w:type="continuationSeparator" w:id="0">
    <w:p w:rsidR="00FE3A20" w:rsidRDefault="00FE3A20">
      <w:r>
        <w:continuationSeparator/>
      </w:r>
    </w:p>
  </w:footnote>
  <w:footnote w:id="1">
    <w:p w:rsidR="00FC7165" w:rsidRPr="004769A3" w:rsidRDefault="00FC716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4769A3">
        <w:rPr>
          <w:lang w:val="en-IE"/>
        </w:rPr>
        <w:t xml:space="preserve"> </w:t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E7741B" w:rsidRPr="00E7741B">
        <w:rPr>
          <w:lang w:val="en-IE"/>
        </w:rPr>
        <w:t>INSC Regulation 2021/948 of 27 May 2021 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  <w:footnote w:id="2">
    <w:p w:rsidR="00481D06" w:rsidRPr="00481D06" w:rsidRDefault="00481D06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Pr="00481D06">
        <w:rPr>
          <w:lang w:val="en-GB"/>
        </w:rPr>
        <w:t xml:space="preserve"> </w:t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3">
    <w:p w:rsidR="00884221" w:rsidRPr="006779F7" w:rsidRDefault="00884221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="00B62E2B">
        <w:rPr>
          <w:highlight w:val="yellow"/>
          <w:lang w:val="en-GB"/>
        </w:rPr>
        <w:t xml:space="preserve"> </w:t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167</Words>
  <Characters>1124</Characters>
  <Application>Microsoft Office Word</Application>
  <DocSecurity>0</DocSecurity>
  <Lines>281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OTERO VEGA Yolanda (INTPA)</cp:lastModifiedBy>
  <cp:revision>16</cp:revision>
  <cp:lastPrinted>2016-05-31T08:30:00Z</cp:lastPrinted>
  <dcterms:created xsi:type="dcterms:W3CDTF">2018-12-18T11:55:00Z</dcterms:created>
  <dcterms:modified xsi:type="dcterms:W3CDTF">2022-11-17T11:26:00Z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