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8985" w14:textId="77777777" w:rsidR="00632BDC" w:rsidRPr="00B33EE6" w:rsidRDefault="00632BDC" w:rsidP="00D517A4">
      <w:pPr>
        <w:jc w:val="center"/>
        <w:rPr>
          <w:sz w:val="20"/>
          <w:highlight w:val="yellow"/>
          <w:lang w:val="en-GB"/>
        </w:rPr>
      </w:pPr>
      <w:bookmarkStart w:id="0" w:name="_GoBack"/>
      <w:bookmarkEnd w:id="0"/>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tenderers</w:t>
      </w:r>
    </w:p>
    <w:p w14:paraId="22FC9F84" w14:textId="522EC58F" w:rsidR="00A36F1C" w:rsidRDefault="00632BDC" w:rsidP="00D517A4">
      <w:pPr>
        <w:jc w:val="center"/>
        <w:rPr>
          <w:sz w:val="20"/>
          <w:lang w:val="en-GB"/>
        </w:rPr>
      </w:pPr>
      <w:r w:rsidRPr="00B33EE6">
        <w:rPr>
          <w:sz w:val="20"/>
          <w:highlight w:val="yellow"/>
          <w:lang w:val="en-GB"/>
        </w:rPr>
        <w:t xml:space="preserve">(not published for the </w:t>
      </w:r>
      <w:r w:rsidR="00480B5C">
        <w:rPr>
          <w:sz w:val="20"/>
          <w:highlight w:val="yellow"/>
          <w:lang w:val="en-GB"/>
        </w:rPr>
        <w:t>s</w:t>
      </w:r>
      <w:r w:rsidR="006F7885">
        <w:rPr>
          <w:sz w:val="20"/>
          <w:highlight w:val="yellow"/>
          <w:lang w:val="en-GB"/>
        </w:rPr>
        <w:t xml:space="preserve">implified </w:t>
      </w:r>
      <w:r w:rsidR="00480B5C">
        <w:rPr>
          <w:sz w:val="20"/>
          <w:highlight w:val="yellow"/>
          <w:lang w:val="en-GB"/>
        </w:rPr>
        <w:t>p</w:t>
      </w:r>
      <w:r w:rsidR="006F7885">
        <w:rPr>
          <w:sz w:val="20"/>
          <w:highlight w:val="yellow"/>
          <w:lang w:val="en-GB"/>
        </w:rPr>
        <w:t>rocedure</w:t>
      </w:r>
      <w:r w:rsidR="00480B5C">
        <w:rPr>
          <w:sz w:val="20"/>
          <w:highlight w:val="yellow"/>
          <w:lang w:val="en-GB"/>
        </w:rPr>
        <w:t xml:space="preserve"> or negotiated procedure</w:t>
      </w:r>
      <w:r w:rsidRPr="00B33EE6">
        <w:rPr>
          <w:sz w:val="20"/>
          <w:highlight w:val="yellow"/>
          <w:lang w:val="en-GB"/>
        </w:rPr>
        <w:t>)</w:t>
      </w:r>
    </w:p>
    <w:p w14:paraId="50804984" w14:textId="675DDDF5" w:rsidR="00A36F1C" w:rsidRPr="002B370E" w:rsidRDefault="00A36F1C" w:rsidP="00A36F1C">
      <w:pPr>
        <w:pStyle w:val="Subtitle"/>
        <w:shd w:val="clear" w:color="auto" w:fill="FFFF00"/>
        <w:spacing w:after="240"/>
        <w:jc w:val="both"/>
        <w:rPr>
          <w:b w:val="0"/>
          <w:sz w:val="22"/>
          <w:szCs w:val="22"/>
          <w:lang w:val="en-GB"/>
        </w:rPr>
      </w:pPr>
      <w:r w:rsidRPr="002B370E">
        <w:rPr>
          <w:sz w:val="22"/>
          <w:szCs w:val="22"/>
          <w:lang w:val="en-GB"/>
        </w:rPr>
        <w:t>How to complete th</w:t>
      </w:r>
      <w:r w:rsidR="00480B5C">
        <w:rPr>
          <w:sz w:val="22"/>
          <w:szCs w:val="22"/>
          <w:lang w:val="en-GB"/>
        </w:rPr>
        <w:t>is</w:t>
      </w:r>
      <w:r w:rsidRPr="002B370E">
        <w:rPr>
          <w:sz w:val="22"/>
          <w:szCs w:val="22"/>
          <w:lang w:val="en-GB"/>
        </w:rPr>
        <w:t xml:space="preserv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77777777" w:rsidR="006F5FD0" w:rsidRPr="00B33EE6" w:rsidRDefault="006F5FD0">
      <w:pPr>
        <w:jc w:val="center"/>
        <w:rPr>
          <w:sz w:val="28"/>
          <w:szCs w:val="28"/>
          <w:lang w:val="en-GB"/>
        </w:rPr>
      </w:pPr>
      <w:r w:rsidRPr="00B33EE6">
        <w:rPr>
          <w:rStyle w:val="Strong"/>
          <w:sz w:val="28"/>
          <w:szCs w:val="28"/>
          <w:lang w:val="en-GB"/>
        </w:rPr>
        <w:t>&lt;</w:t>
      </w:r>
      <w:r w:rsidRPr="00B33EE6">
        <w:rPr>
          <w:rStyle w:val="Strong"/>
          <w:sz w:val="28"/>
          <w:szCs w:val="28"/>
          <w:highlight w:val="yellow"/>
          <w:lang w:val="en-GB"/>
        </w:rPr>
        <w:t>Contract title</w:t>
      </w:r>
      <w:r w:rsidRPr="00B33EE6">
        <w:rPr>
          <w:rStyle w:val="Strong"/>
          <w:sz w:val="28"/>
          <w:szCs w:val="28"/>
          <w:lang w:val="en-GB"/>
        </w:rPr>
        <w:t>&gt;</w:t>
      </w:r>
      <w:r w:rsidRPr="00B33EE6">
        <w:rPr>
          <w:rStyle w:val="Strong"/>
          <w:sz w:val="28"/>
          <w:szCs w:val="28"/>
          <w:lang w:val="en-GB"/>
        </w:rPr>
        <w:br/>
      </w:r>
      <w:r w:rsidR="00BE3544" w:rsidRPr="00B33EE6">
        <w:rPr>
          <w:rStyle w:val="Strong"/>
          <w:sz w:val="28"/>
          <w:szCs w:val="28"/>
          <w:lang w:val="en-GB"/>
        </w:rPr>
        <w:t>&lt;</w:t>
      </w:r>
      <w:r w:rsidRPr="00B33EE6">
        <w:rPr>
          <w:rStyle w:val="Strong"/>
          <w:sz w:val="28"/>
          <w:szCs w:val="28"/>
          <w:highlight w:val="yellow"/>
          <w:lang w:val="en-GB"/>
        </w:rPr>
        <w:t>Location -</w:t>
      </w:r>
      <w:r w:rsidRPr="00B33EE6">
        <w:rPr>
          <w:rStyle w:val="Strong"/>
          <w:sz w:val="28"/>
          <w:szCs w:val="28"/>
          <w:lang w:val="en-GB"/>
        </w:rPr>
        <w:t xml:space="preserve"> </w:t>
      </w:r>
      <w:r w:rsidRPr="00B33EE6">
        <w:rPr>
          <w:rStyle w:val="Emphasis"/>
          <w:i w:val="0"/>
          <w:sz w:val="28"/>
          <w:szCs w:val="28"/>
          <w:highlight w:val="yellow"/>
          <w:lang w:val="en-GB"/>
        </w:rPr>
        <w:t>Area/region and country/countries</w:t>
      </w:r>
      <w:r w:rsidRPr="00B33EE6">
        <w:rPr>
          <w:rStyle w:val="Emphasis"/>
          <w:i w:val="0"/>
          <w:sz w:val="28"/>
          <w:szCs w:val="28"/>
          <w:lang w:val="en-GB"/>
        </w:rPr>
        <w:t xml:space="preserve"> </w:t>
      </w:r>
      <w:r w:rsidRPr="00B33EE6">
        <w:rPr>
          <w:rStyle w:val="Strong"/>
          <w:sz w:val="28"/>
          <w:szCs w:val="28"/>
          <w:lang w:val="en-GB"/>
        </w:rPr>
        <w:t>&gt;</w:t>
      </w:r>
    </w:p>
    <w:p w14:paraId="4BC178D1" w14:textId="77777777" w:rsidR="00215403" w:rsidRPr="007727F3" w:rsidRDefault="00215403" w:rsidP="00215403">
      <w:pPr>
        <w:outlineLvl w:val="0"/>
        <w:rPr>
          <w:rStyle w:val="Strong"/>
          <w:sz w:val="22"/>
          <w:szCs w:val="22"/>
          <w:lang w:val="en-GB"/>
        </w:rPr>
      </w:pPr>
      <w:r>
        <w:rPr>
          <w:rStyle w:val="Strong"/>
          <w:sz w:val="22"/>
          <w:szCs w:val="22"/>
          <w:highlight w:val="yellow"/>
          <w:lang w:val="en-GB"/>
        </w:rPr>
        <w:t>[</w:t>
      </w:r>
      <w:r w:rsidRPr="007727F3">
        <w:rPr>
          <w:rStyle w:val="Strong"/>
          <w:sz w:val="22"/>
          <w:szCs w:val="22"/>
          <w:highlight w:val="yellow"/>
          <w:lang w:val="en-GB"/>
        </w:rPr>
        <w:t>Only in case of suspensi</w:t>
      </w:r>
      <w:r>
        <w:rPr>
          <w:rStyle w:val="Strong"/>
          <w:sz w:val="22"/>
          <w:szCs w:val="22"/>
          <w:highlight w:val="yellow"/>
          <w:lang w:val="en-GB"/>
        </w:rPr>
        <w:t>ve</w:t>
      </w:r>
      <w:r w:rsidRPr="007727F3">
        <w:rPr>
          <w:rStyle w:val="Strong"/>
          <w:sz w:val="22"/>
          <w:szCs w:val="22"/>
          <w:highlight w:val="yellow"/>
          <w:lang w:val="en-GB"/>
        </w:rPr>
        <w:t xml:space="preserve"> clause</w:t>
      </w:r>
    </w:p>
    <w:p w14:paraId="5844D380" w14:textId="77777777" w:rsidR="00215403" w:rsidRPr="009B06B5" w:rsidRDefault="00215403" w:rsidP="00215403">
      <w:pPr>
        <w:outlineLvl w:val="0"/>
        <w:rPr>
          <w:rStyle w:val="Strong"/>
          <w:b w:val="0"/>
          <w:sz w:val="22"/>
          <w:szCs w:val="22"/>
          <w:lang w:val="en-GB"/>
        </w:rPr>
      </w:pPr>
      <w:r w:rsidRPr="00215403">
        <w:rPr>
          <w:rStyle w:val="Strong"/>
          <w:sz w:val="22"/>
          <w:szCs w:val="22"/>
          <w:highlight w:val="lightGray"/>
          <w:lang w:val="en-GB"/>
        </w:rPr>
        <w:t>Please note that the awarding of the contract is subject to the condition of:</w:t>
      </w:r>
    </w:p>
    <w:p w14:paraId="6372ACB7" w14:textId="77777777" w:rsidR="00215403" w:rsidRDefault="00215403" w:rsidP="00215403">
      <w:pPr>
        <w:outlineLvl w:val="0"/>
        <w:rPr>
          <w:rStyle w:val="Strong"/>
          <w:b w:val="0"/>
          <w:sz w:val="22"/>
          <w:szCs w:val="22"/>
          <w:lang w:val="en-GB"/>
        </w:rPr>
      </w:pPr>
      <w:r w:rsidRPr="00215403">
        <w:rPr>
          <w:rStyle w:val="Strong"/>
          <w:sz w:val="22"/>
          <w:szCs w:val="22"/>
          <w:highlight w:val="lightGray"/>
          <w:lang w:val="en-GB"/>
        </w:rPr>
        <w:t>[the prior adoption of a financing decision and the prior conclusion of a financing agreement</w:t>
      </w:r>
      <w:r>
        <w:rPr>
          <w:rStyle w:val="Strong"/>
          <w:sz w:val="22"/>
          <w:szCs w:val="22"/>
          <w:lang w:val="en-GB"/>
        </w:rPr>
        <w:t>]</w:t>
      </w:r>
    </w:p>
    <w:p w14:paraId="4158D2CE" w14:textId="77777777" w:rsidR="00215403" w:rsidRDefault="00215403" w:rsidP="00215403">
      <w:pPr>
        <w:outlineLvl w:val="0"/>
        <w:rPr>
          <w:rStyle w:val="Strong"/>
          <w:b w:val="0"/>
          <w:sz w:val="22"/>
          <w:szCs w:val="22"/>
          <w:lang w:val="en-GB"/>
        </w:rPr>
      </w:pPr>
      <w:r w:rsidRPr="006E1BD0">
        <w:rPr>
          <w:rStyle w:val="Emphasis"/>
          <w:i w:val="0"/>
          <w:sz w:val="22"/>
          <w:szCs w:val="22"/>
          <w:highlight w:val="lightGray"/>
          <w:lang w:val="en-GB"/>
        </w:rPr>
        <w:t>[</w:t>
      </w:r>
      <w:r w:rsidRPr="00215403">
        <w:rPr>
          <w:rStyle w:val="Strong"/>
          <w:sz w:val="22"/>
          <w:szCs w:val="22"/>
          <w:highlight w:val="lightGray"/>
          <w:lang w:val="en-GB"/>
        </w:rPr>
        <w:t>the prior adoption of a financing decision]</w:t>
      </w:r>
    </w:p>
    <w:p w14:paraId="079BF903" w14:textId="77777777" w:rsidR="00215403" w:rsidRPr="00215403" w:rsidRDefault="00215403" w:rsidP="00215403">
      <w:pPr>
        <w:outlineLvl w:val="0"/>
        <w:rPr>
          <w:rStyle w:val="Strong"/>
          <w:b w:val="0"/>
          <w:sz w:val="22"/>
          <w:szCs w:val="22"/>
          <w:highlight w:val="lightGray"/>
          <w:lang w:val="en-GB"/>
        </w:rPr>
      </w:pPr>
      <w:r w:rsidRPr="006E1BD0">
        <w:rPr>
          <w:rStyle w:val="Emphasis"/>
          <w:i w:val="0"/>
          <w:sz w:val="22"/>
          <w:szCs w:val="22"/>
          <w:highlight w:val="lightGray"/>
          <w:lang w:val="en-GB"/>
        </w:rPr>
        <w:t>[</w:t>
      </w:r>
      <w:r w:rsidRPr="00215403">
        <w:rPr>
          <w:rStyle w:val="Strong"/>
          <w:sz w:val="22"/>
          <w:szCs w:val="22"/>
          <w:highlight w:val="lightGray"/>
          <w:lang w:val="en-GB"/>
        </w:rPr>
        <w:t xml:space="preserve">the prior conclusion of a financing agreement], </w:t>
      </w:r>
    </w:p>
    <w:p w14:paraId="05ACA935" w14:textId="77777777" w:rsidR="00215403" w:rsidRPr="00E9047D" w:rsidRDefault="00215403" w:rsidP="00215403">
      <w:pPr>
        <w:jc w:val="both"/>
        <w:outlineLvl w:val="0"/>
        <w:rPr>
          <w:rStyle w:val="Strong"/>
          <w:b w:val="0"/>
          <w:sz w:val="22"/>
          <w:szCs w:val="22"/>
          <w:lang w:val="en-GB"/>
        </w:rPr>
      </w:pPr>
      <w:r w:rsidRPr="00215403">
        <w:rPr>
          <w:rStyle w:val="Strong"/>
          <w:sz w:val="22"/>
          <w:szCs w:val="22"/>
          <w:highlight w:val="lightGray"/>
          <w:lang w:val="en-GB"/>
        </w:rPr>
        <w:t>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r w:rsidRPr="00525840">
        <w:rPr>
          <w:rStyle w:val="Strong"/>
          <w:sz w:val="22"/>
          <w:szCs w:val="22"/>
          <w:lang w:val="en-GB"/>
        </w:rPr>
        <w:t>]</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7777777" w:rsidR="006F5FD0" w:rsidRPr="00B33EE6" w:rsidRDefault="006F5FD0">
      <w:pPr>
        <w:pStyle w:val="Blockquote"/>
        <w:rPr>
          <w:i/>
          <w:sz w:val="22"/>
          <w:szCs w:val="22"/>
          <w:lang w:val="en-GB"/>
        </w:rPr>
      </w:pPr>
      <w:r w:rsidRPr="00B33EE6">
        <w:rPr>
          <w:rStyle w:val="Emphasis"/>
          <w:i w:val="0"/>
          <w:sz w:val="22"/>
          <w:szCs w:val="22"/>
          <w:lang w:val="en-GB"/>
        </w:rPr>
        <w:t xml:space="preserve">&lt; </w:t>
      </w:r>
      <w:r w:rsidR="00632BDC" w:rsidRPr="00B33EE6">
        <w:rPr>
          <w:rStyle w:val="Emphasis"/>
          <w:i w:val="0"/>
          <w:sz w:val="22"/>
          <w:szCs w:val="22"/>
          <w:highlight w:val="yellow"/>
          <w:lang w:val="en-GB"/>
        </w:rPr>
        <w:t>R</w:t>
      </w:r>
      <w:r w:rsidRPr="00B33EE6">
        <w:rPr>
          <w:rStyle w:val="Emphasis"/>
          <w:i w:val="0"/>
          <w:sz w:val="22"/>
          <w:szCs w:val="22"/>
          <w:highlight w:val="yellow"/>
          <w:lang w:val="en-GB"/>
        </w:rPr>
        <w:t>eference</w:t>
      </w:r>
      <w:r w:rsidRPr="00B33EE6">
        <w:rPr>
          <w:rStyle w:val="Emphasis"/>
          <w:i w:val="0"/>
          <w:sz w:val="22"/>
          <w:szCs w:val="22"/>
          <w:lang w:val="en-GB"/>
        </w:rPr>
        <w:t xml:space="preserve"> &gt;</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7777777" w:rsidR="006F5FD0" w:rsidRPr="00B33EE6" w:rsidRDefault="00AD1E4D" w:rsidP="00C867B9">
      <w:pPr>
        <w:pStyle w:val="Blockquote"/>
        <w:ind w:left="0"/>
        <w:jc w:val="both"/>
        <w:rPr>
          <w:sz w:val="22"/>
          <w:szCs w:val="22"/>
          <w:lang w:val="en-GB"/>
        </w:rPr>
      </w:pPr>
      <w:r>
        <w:rPr>
          <w:sz w:val="22"/>
          <w:szCs w:val="22"/>
          <w:highlight w:val="lightGray"/>
          <w:lang w:val="en-GB"/>
        </w:rPr>
        <w:t xml:space="preserve">   [Simplified]</w:t>
      </w:r>
      <w:r w:rsidR="00F86AAA">
        <w:rPr>
          <w:sz w:val="22"/>
          <w:szCs w:val="22"/>
          <w:highlight w:val="lightGray"/>
          <w:lang w:val="en-GB"/>
        </w:rPr>
        <w:t>[Negotiated]</w:t>
      </w:r>
      <w:r>
        <w:rPr>
          <w:sz w:val="22"/>
          <w:szCs w:val="22"/>
          <w:highlight w:val="lightGray"/>
          <w:lang w:val="en-GB"/>
        </w:rPr>
        <w:t>[</w:t>
      </w:r>
      <w:r w:rsidR="00F60220" w:rsidRPr="00B33EE6">
        <w:rPr>
          <w:sz w:val="22"/>
          <w:szCs w:val="22"/>
          <w:highlight w:val="lightGray"/>
          <w:lang w:val="en-GB"/>
        </w:rPr>
        <w:t>Single tende</w:t>
      </w:r>
      <w:r w:rsidR="00F60220" w:rsidRPr="00482E0D">
        <w:rPr>
          <w:sz w:val="22"/>
          <w:szCs w:val="22"/>
          <w:highlight w:val="lightGray"/>
          <w:lang w:val="en-GB"/>
        </w:rPr>
        <w:t>r</w:t>
      </w:r>
      <w:r w:rsidR="00F60220" w:rsidRPr="006E1BD0">
        <w:rPr>
          <w:sz w:val="22"/>
          <w:szCs w:val="22"/>
          <w:highlight w:val="lightGray"/>
          <w:lang w:val="en-GB"/>
        </w:rPr>
        <w:t>]</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7777777"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Emphasis"/>
          <w:i w:val="0"/>
          <w:sz w:val="22"/>
          <w:szCs w:val="22"/>
          <w:highlight w:val="yellow"/>
          <w:lang w:val="en-GB"/>
        </w:rPr>
        <w:t>Please specify the title of the programme mentioned in the applicable financing agreement/ financing decision</w:t>
      </w:r>
      <w:r w:rsidRPr="00B33EE6">
        <w:rPr>
          <w:lang w:val="en-GB"/>
        </w:rPr>
        <w:t>&gt;</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77777777" w:rsidR="00502217" w:rsidRPr="00B33EE6" w:rsidRDefault="00551429" w:rsidP="00502217">
      <w:pPr>
        <w:pStyle w:val="Blockquote"/>
        <w:jc w:val="both"/>
        <w:rPr>
          <w:sz w:val="22"/>
          <w:szCs w:val="22"/>
          <w:lang w:val="en-GB"/>
        </w:rPr>
      </w:pPr>
      <w:r w:rsidRPr="00B33EE6">
        <w:rPr>
          <w:rStyle w:val="Emphasis"/>
          <w:i w:val="0"/>
          <w:sz w:val="22"/>
          <w:szCs w:val="22"/>
          <w:lang w:val="en-GB"/>
        </w:rPr>
        <w:t>&lt;</w:t>
      </w:r>
      <w:r w:rsidRPr="00B33EE6">
        <w:rPr>
          <w:rStyle w:val="Emphasis"/>
          <w:i w:val="0"/>
          <w:sz w:val="22"/>
          <w:szCs w:val="22"/>
          <w:highlight w:val="yellow"/>
          <w:lang w:val="en-GB"/>
        </w:rPr>
        <w:t>Budget line/</w:t>
      </w:r>
      <w:r w:rsidR="00FE4E4B">
        <w:rPr>
          <w:rStyle w:val="Emphasis"/>
          <w:i w:val="0"/>
          <w:sz w:val="22"/>
          <w:szCs w:val="22"/>
          <w:highlight w:val="yellow"/>
          <w:lang w:val="en-GB"/>
        </w:rPr>
        <w:t>f</w:t>
      </w:r>
      <w:r w:rsidR="006F5FD0" w:rsidRPr="00B33EE6">
        <w:rPr>
          <w:rStyle w:val="Emphasis"/>
          <w:i w:val="0"/>
          <w:sz w:val="22"/>
          <w:szCs w:val="22"/>
          <w:highlight w:val="yellow"/>
          <w:lang w:val="en-GB"/>
        </w:rPr>
        <w:t>inancing agreement</w:t>
      </w:r>
      <w:r w:rsidRPr="00B33EE6">
        <w:rPr>
          <w:rStyle w:val="Emphasis"/>
          <w:i w:val="0"/>
          <w:sz w:val="22"/>
          <w:szCs w:val="22"/>
          <w:highlight w:val="yellow"/>
          <w:lang w:val="en-GB"/>
        </w:rPr>
        <w:t>/</w:t>
      </w:r>
      <w:r w:rsidR="00FE4E4B">
        <w:rPr>
          <w:rStyle w:val="Emphasis"/>
          <w:i w:val="0"/>
          <w:sz w:val="22"/>
          <w:szCs w:val="22"/>
          <w:highlight w:val="yellow"/>
          <w:lang w:val="en-GB"/>
        </w:rPr>
        <w:t>o</w:t>
      </w:r>
      <w:r w:rsidRPr="00B33EE6">
        <w:rPr>
          <w:rStyle w:val="Emphasis"/>
          <w:i w:val="0"/>
          <w:sz w:val="22"/>
          <w:szCs w:val="22"/>
          <w:highlight w:val="yellow"/>
          <w:lang w:val="en-GB"/>
        </w:rPr>
        <w:t>ther</w:t>
      </w:r>
      <w:r w:rsidRPr="00B33EE6">
        <w:rPr>
          <w:rStyle w:val="Emphasis"/>
          <w:i w:val="0"/>
          <w:sz w:val="22"/>
          <w:szCs w:val="22"/>
          <w:lang w:val="en-GB"/>
        </w:rPr>
        <w:t>&gt;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49DB24A3" w14:textId="77777777" w:rsidR="008A1514" w:rsidRDefault="00364564" w:rsidP="00B33EE6">
      <w:pPr>
        <w:ind w:left="357" w:right="357"/>
        <w:jc w:val="both"/>
        <w:rPr>
          <w:rStyle w:val="Emphasis"/>
          <w:i w:val="0"/>
          <w:sz w:val="22"/>
          <w:szCs w:val="22"/>
          <w:lang w:val="en-GB"/>
        </w:rPr>
      </w:pPr>
      <w:r w:rsidRPr="00B33EE6">
        <w:rPr>
          <w:rStyle w:val="Emphasis"/>
          <w:i w:val="0"/>
          <w:sz w:val="22"/>
          <w:szCs w:val="22"/>
          <w:lang w:val="en-GB"/>
        </w:rPr>
        <w:t>[</w:t>
      </w:r>
      <w:r w:rsidR="009E5BC1" w:rsidRPr="00B33EE6">
        <w:rPr>
          <w:rStyle w:val="Emphasis"/>
          <w:i w:val="0"/>
          <w:sz w:val="22"/>
          <w:szCs w:val="22"/>
          <w:highlight w:val="yellow"/>
          <w:lang w:val="en-GB"/>
        </w:rPr>
        <w:t>For direct management</w:t>
      </w:r>
      <w:r w:rsidR="00CB7AAE">
        <w:rPr>
          <w:rStyle w:val="Emphasis"/>
          <w:i w:val="0"/>
          <w:sz w:val="22"/>
          <w:szCs w:val="22"/>
          <w:highlight w:val="yellow"/>
          <w:lang w:val="en-GB"/>
        </w:rPr>
        <w:t xml:space="preserve"> </w:t>
      </w:r>
      <w:r w:rsidR="00CB7AAE">
        <w:rPr>
          <w:sz w:val="22"/>
          <w:szCs w:val="22"/>
          <w:highlight w:val="yellow"/>
        </w:rPr>
        <w:t>in the exclusive interest of the partner country/ies</w:t>
      </w:r>
      <w:r w:rsidR="009E5BC1" w:rsidRPr="00B33EE6">
        <w:rPr>
          <w:rStyle w:val="Emphasis"/>
          <w:i w:val="0"/>
          <w:sz w:val="22"/>
          <w:szCs w:val="22"/>
          <w:highlight w:val="yellow"/>
          <w:lang w:val="en-GB"/>
        </w:rPr>
        <w:t xml:space="preserve">: </w:t>
      </w:r>
      <w:r w:rsidR="006F5FD0" w:rsidRPr="00B33EE6">
        <w:rPr>
          <w:rStyle w:val="Emphasis"/>
          <w:i w:val="0"/>
          <w:sz w:val="22"/>
          <w:szCs w:val="22"/>
          <w:highlight w:val="lightGray"/>
          <w:lang w:val="en-GB"/>
        </w:rPr>
        <w:t>European</w:t>
      </w:r>
      <w:r w:rsidR="001B2571" w:rsidRPr="00B33EE6">
        <w:rPr>
          <w:rStyle w:val="Emphasis"/>
          <w:i w:val="0"/>
          <w:sz w:val="22"/>
          <w:szCs w:val="22"/>
          <w:highlight w:val="lightGray"/>
          <w:lang w:val="en-GB"/>
        </w:rPr>
        <w:t xml:space="preserve"> </w:t>
      </w:r>
      <w:r w:rsidR="00502217" w:rsidRPr="00B33EE6">
        <w:rPr>
          <w:rStyle w:val="Emphasis"/>
          <w:i w:val="0"/>
          <w:sz w:val="22"/>
          <w:szCs w:val="22"/>
          <w:highlight w:val="lightGray"/>
          <w:lang w:val="en-GB"/>
        </w:rPr>
        <w:t>Union</w:t>
      </w:r>
      <w:r w:rsidR="006F5FD0" w:rsidRPr="00B33EE6">
        <w:rPr>
          <w:rStyle w:val="Emphasis"/>
          <w:i w:val="0"/>
          <w:sz w:val="22"/>
          <w:szCs w:val="22"/>
          <w:highlight w:val="lightGray"/>
          <w:lang w:val="en-GB"/>
        </w:rPr>
        <w:t>,</w:t>
      </w:r>
      <w:r w:rsidR="008A1514" w:rsidRPr="00B33EE6">
        <w:rPr>
          <w:rStyle w:val="Emphasis"/>
          <w:i w:val="0"/>
          <w:sz w:val="22"/>
          <w:szCs w:val="22"/>
          <w:highlight w:val="lightGray"/>
          <w:lang w:val="en-GB"/>
        </w:rPr>
        <w:t xml:space="preserve"> represented by the European Commission</w:t>
      </w:r>
      <w:r w:rsidR="006F5FD0" w:rsidRPr="00B33EE6">
        <w:rPr>
          <w:rStyle w:val="Emphasis"/>
          <w:i w:val="0"/>
          <w:sz w:val="22"/>
          <w:szCs w:val="22"/>
          <w:highlight w:val="lightGray"/>
          <w:lang w:val="en-GB"/>
        </w:rPr>
        <w:t xml:space="preserve"> </w:t>
      </w:r>
      <w:r w:rsidR="00233DDA" w:rsidRPr="00B33EE6">
        <w:rPr>
          <w:rStyle w:val="Emphasis"/>
          <w:i w:val="0"/>
          <w:sz w:val="22"/>
          <w:szCs w:val="22"/>
          <w:highlight w:val="lightGray"/>
          <w:lang w:val="en-GB"/>
        </w:rPr>
        <w:t>on behalf of and for the account of</w:t>
      </w:r>
      <w:r w:rsidR="008A1514" w:rsidRPr="00B33EE6">
        <w:rPr>
          <w:rStyle w:val="Emphasis"/>
          <w:i w:val="0"/>
          <w:sz w:val="22"/>
          <w:szCs w:val="22"/>
          <w:lang w:val="en-GB"/>
        </w:rPr>
        <w:t xml:space="preserve"> </w:t>
      </w:r>
      <w:r w:rsidRPr="00B33EE6">
        <w:rPr>
          <w:rStyle w:val="Emphasis"/>
          <w:i w:val="0"/>
          <w:sz w:val="22"/>
          <w:szCs w:val="22"/>
          <w:lang w:val="en-GB"/>
        </w:rPr>
        <w:t>&lt;</w:t>
      </w:r>
      <w:r w:rsidR="00E82874"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w:t>
      </w:r>
      <w:r w:rsidR="006F5FD0" w:rsidRPr="00B33EE6">
        <w:rPr>
          <w:rStyle w:val="Emphasis"/>
          <w:i w:val="0"/>
          <w:sz w:val="22"/>
          <w:szCs w:val="22"/>
          <w:highlight w:val="yellow"/>
          <w:lang w:val="en-GB"/>
        </w:rPr>
        <w:t xml:space="preserve"> </w:t>
      </w:r>
      <w:r w:rsidR="006F5FD0" w:rsidRPr="00B33EE6">
        <w:rPr>
          <w:rStyle w:val="Emphasis"/>
          <w:i w:val="0"/>
          <w:sz w:val="22"/>
          <w:szCs w:val="22"/>
          <w:highlight w:val="yellow"/>
          <w:lang w:val="en-GB"/>
        </w:rPr>
        <w:lastRenderedPageBreak/>
        <w:t>country/countries</w:t>
      </w:r>
      <w:r w:rsidRPr="00B33EE6">
        <w:rPr>
          <w:rStyle w:val="Emphasis"/>
          <w:i w:val="0"/>
          <w:sz w:val="22"/>
          <w:szCs w:val="22"/>
          <w:lang w:val="en-GB"/>
        </w:rPr>
        <w:t>&gt;</w:t>
      </w:r>
      <w:r w:rsidR="009E5BC1" w:rsidRPr="00B33EE6">
        <w:rPr>
          <w:rStyle w:val="Emphasis"/>
          <w:i w:val="0"/>
          <w:sz w:val="22"/>
          <w:szCs w:val="22"/>
          <w:lang w:val="en-GB"/>
        </w:rPr>
        <w:t>]</w:t>
      </w:r>
      <w:r w:rsidR="006F5FD0" w:rsidRPr="00B33EE6">
        <w:rPr>
          <w:rStyle w:val="Emphasis"/>
          <w:i w:val="0"/>
          <w:sz w:val="22"/>
          <w:szCs w:val="22"/>
          <w:lang w:val="en-GB"/>
        </w:rPr>
        <w:t xml:space="preserve"> </w:t>
      </w:r>
    </w:p>
    <w:p w14:paraId="77195834" w14:textId="77777777" w:rsidR="00CB7AAE" w:rsidRDefault="00CB7AAE" w:rsidP="00CB7AAE">
      <w:pPr>
        <w:spacing w:before="120" w:after="0"/>
        <w:ind w:left="426"/>
        <w:rPr>
          <w:sz w:val="22"/>
          <w:szCs w:val="22"/>
        </w:rPr>
      </w:pPr>
      <w:r>
        <w:rPr>
          <w:sz w:val="22"/>
          <w:szCs w:val="22"/>
          <w:highlight w:val="yellow"/>
        </w:rPr>
        <w:t>[For</w:t>
      </w:r>
      <w:r w:rsidRPr="00416D18">
        <w:rPr>
          <w:sz w:val="22"/>
          <w:szCs w:val="22"/>
          <w:highlight w:val="yellow"/>
        </w:rPr>
        <w:t xml:space="preserve"> direct management</w:t>
      </w:r>
      <w:r>
        <w:rPr>
          <w:sz w:val="22"/>
          <w:szCs w:val="22"/>
          <w:highlight w:val="yellow"/>
        </w:rPr>
        <w:t xml:space="preserve"> in the mixed interest of the EU and partner country/ies:</w:t>
      </w:r>
      <w:r w:rsidRPr="00A8218E" w:rsidDel="001E5084">
        <w:rPr>
          <w:sz w:val="22"/>
          <w:szCs w:val="22"/>
          <w:highlight w:val="yellow"/>
        </w:rPr>
        <w:t xml:space="preserve"> </w:t>
      </w:r>
      <w:r w:rsidRPr="00CE3776">
        <w:rPr>
          <w:sz w:val="22"/>
          <w:szCs w:val="22"/>
          <w:highlight w:val="lightGray"/>
        </w:rPr>
        <w:t>European Union, represented by the European Commission</w:t>
      </w:r>
      <w:r>
        <w:rPr>
          <w:sz w:val="22"/>
          <w:szCs w:val="22"/>
        </w:rPr>
        <w:t xml:space="preserve">] </w:t>
      </w:r>
    </w:p>
    <w:p w14:paraId="2259BEAD" w14:textId="77777777" w:rsidR="006F5FD0" w:rsidRDefault="00364564" w:rsidP="00B33EE6">
      <w:pPr>
        <w:ind w:left="357" w:right="357"/>
        <w:jc w:val="both"/>
        <w:rPr>
          <w:rStyle w:val="Emphasis"/>
          <w:i w:val="0"/>
          <w:sz w:val="22"/>
          <w:szCs w:val="22"/>
          <w:lang w:val="en-GB"/>
        </w:rPr>
      </w:pPr>
      <w:r w:rsidRPr="00B33EE6">
        <w:rPr>
          <w:rStyle w:val="Emphasis"/>
          <w:i w:val="0"/>
          <w:sz w:val="22"/>
          <w:szCs w:val="22"/>
          <w:lang w:val="en-GB"/>
        </w:rPr>
        <w:t>[</w:t>
      </w:r>
      <w:r w:rsidR="009E5BC1" w:rsidRPr="00B33EE6">
        <w:rPr>
          <w:rStyle w:val="Emphasis"/>
          <w:i w:val="0"/>
          <w:sz w:val="22"/>
          <w:szCs w:val="22"/>
          <w:highlight w:val="yellow"/>
          <w:lang w:val="en-GB"/>
        </w:rPr>
        <w:t>For indirect management: &lt;</w:t>
      </w:r>
      <w:r w:rsidR="006F5FD0"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 country</w:t>
      </w:r>
      <w:r w:rsidR="006F5FD0" w:rsidRPr="00B33EE6">
        <w:rPr>
          <w:rStyle w:val="Emphasis"/>
          <w:i w:val="0"/>
          <w:sz w:val="22"/>
          <w:szCs w:val="22"/>
          <w:lang w:val="en-GB"/>
        </w:rPr>
        <w:t xml:space="preserve"> &gt;</w:t>
      </w:r>
      <w:r w:rsidRPr="00B33EE6">
        <w:rPr>
          <w:rStyle w:val="Emphasis"/>
          <w:i w:val="0"/>
          <w:sz w:val="22"/>
          <w:szCs w:val="22"/>
          <w:lang w:val="en-GB"/>
        </w:rPr>
        <w:t>]</w:t>
      </w:r>
    </w:p>
    <w:p w14:paraId="67F4A905" w14:textId="77777777" w:rsidR="006F5FD0" w:rsidRPr="00B33EE6" w:rsidRDefault="00C14D56">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7777777" w:rsidR="006F5FD0" w:rsidRPr="00B33EE6" w:rsidRDefault="00364564">
      <w:pPr>
        <w:pStyle w:val="Blockquote"/>
        <w:jc w:val="both"/>
        <w:rPr>
          <w:i/>
          <w:sz w:val="22"/>
          <w:szCs w:val="22"/>
          <w:lang w:val="en-GB"/>
        </w:rPr>
      </w:pPr>
      <w:r w:rsidRPr="00B33EE6">
        <w:rPr>
          <w:rStyle w:val="Emphasis"/>
          <w:i w:val="0"/>
          <w:sz w:val="22"/>
          <w:szCs w:val="22"/>
          <w:lang w:val="en-GB"/>
        </w:rPr>
        <w:t>[</w:t>
      </w:r>
      <w:r w:rsidR="006F5FD0" w:rsidRPr="00B33EE6">
        <w:rPr>
          <w:rStyle w:val="Emphasis"/>
          <w:i w:val="0"/>
          <w:sz w:val="22"/>
          <w:szCs w:val="22"/>
          <w:highlight w:val="lightGray"/>
          <w:lang w:val="en-GB"/>
        </w:rPr>
        <w:t>Global price</w:t>
      </w:r>
      <w:r w:rsidRPr="00B33EE6">
        <w:rPr>
          <w:rStyle w:val="Emphasis"/>
          <w:i w:val="0"/>
          <w:sz w:val="22"/>
          <w:szCs w:val="22"/>
          <w:lang w:val="en-GB"/>
        </w:rPr>
        <w:t>] [</w:t>
      </w:r>
      <w:r w:rsidR="006F5FD0" w:rsidRPr="00B33EE6">
        <w:rPr>
          <w:rStyle w:val="Emphasis"/>
          <w:i w:val="0"/>
          <w:sz w:val="22"/>
          <w:szCs w:val="22"/>
          <w:highlight w:val="lightGray"/>
          <w:lang w:val="en-GB"/>
        </w:rPr>
        <w:t>Fee-based</w:t>
      </w:r>
      <w:r w:rsidRPr="00B33EE6">
        <w:rPr>
          <w:rStyle w:val="Emphasis"/>
          <w:i w:val="0"/>
          <w:sz w:val="22"/>
          <w:szCs w:val="22"/>
          <w:lang w:val="en-GB"/>
        </w:rPr>
        <w:t>]</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Recommended 10 </w:t>
      </w:r>
      <w:r w:rsidR="00502217" w:rsidRPr="00B33EE6">
        <w:rPr>
          <w:rStyle w:val="Emphasis"/>
          <w:i w:val="0"/>
          <w:sz w:val="22"/>
          <w:szCs w:val="22"/>
          <w:highlight w:val="yellow"/>
          <w:lang w:val="en-GB"/>
        </w:rPr>
        <w:t>lines</w:t>
      </w:r>
      <w:r w:rsidR="00B14398" w:rsidRPr="00B33EE6">
        <w:rPr>
          <w:rStyle w:val="Emphasis"/>
          <w:i w:val="0"/>
          <w:sz w:val="22"/>
          <w:szCs w:val="22"/>
          <w:highlight w:val="yellow"/>
          <w:lang w:val="en-GB"/>
        </w:rPr>
        <w:t>, maximum</w:t>
      </w:r>
      <w:r w:rsidR="007471C5" w:rsidRPr="00B33EE6">
        <w:rPr>
          <w:rStyle w:val="Emphasis"/>
          <w:i w:val="0"/>
          <w:sz w:val="22"/>
          <w:szCs w:val="22"/>
          <w:highlight w:val="yellow"/>
          <w:lang w:val="en-GB"/>
        </w:rPr>
        <w:t xml:space="preserve"> </w:t>
      </w:r>
      <w:r w:rsidR="00502217" w:rsidRPr="00B33EE6">
        <w:rPr>
          <w:rStyle w:val="Emphasis"/>
          <w:i w:val="0"/>
          <w:sz w:val="22"/>
          <w:szCs w:val="22"/>
          <w:highlight w:val="yellow"/>
          <w:lang w:val="en-GB"/>
        </w:rPr>
        <w:t xml:space="preserve">20 </w:t>
      </w:r>
      <w:r w:rsidR="00B14398" w:rsidRPr="00B33EE6">
        <w:rPr>
          <w:rStyle w:val="Emphasis"/>
          <w:i w:val="0"/>
          <w:sz w:val="22"/>
          <w:szCs w:val="22"/>
          <w:highlight w:val="yellow"/>
          <w:lang w:val="en-GB"/>
        </w:rPr>
        <w:t>lines</w:t>
      </w:r>
      <w:r w:rsidRPr="00B33EE6">
        <w:rPr>
          <w:rStyle w:val="Emphasis"/>
          <w:i w:val="0"/>
          <w:sz w:val="22"/>
          <w:szCs w:val="22"/>
          <w:lang w:val="en-GB"/>
        </w:rPr>
        <w:t>&gt;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77777777" w:rsidR="00E9047D" w:rsidRPr="00B33EE6" w:rsidRDefault="00364564" w:rsidP="00584BF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lightGray"/>
          <w:lang w:val="en-GB"/>
        </w:rPr>
        <w:t>O</w:t>
      </w:r>
      <w:r w:rsidR="00DA0ABA" w:rsidRPr="00B33EE6">
        <w:rPr>
          <w:rStyle w:val="Emphasis"/>
          <w:i w:val="0"/>
          <w:sz w:val="22"/>
          <w:szCs w:val="22"/>
          <w:highlight w:val="lightGray"/>
          <w:lang w:val="en-GB"/>
        </w:rPr>
        <w:t>ne lot only</w:t>
      </w:r>
      <w:r w:rsidRPr="00B33EE6">
        <w:rPr>
          <w:rStyle w:val="Emphasis"/>
          <w:i w:val="0"/>
          <w:sz w:val="22"/>
          <w:szCs w:val="22"/>
          <w:lang w:val="en-GB"/>
        </w:rPr>
        <w:t>]</w:t>
      </w:r>
    </w:p>
    <w:p w14:paraId="0B7507A0" w14:textId="77777777" w:rsidR="00571687" w:rsidRPr="00B33EE6" w:rsidRDefault="00364564" w:rsidP="0036456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yellow"/>
          <w:lang w:val="en-GB"/>
        </w:rPr>
        <w:t>If more than one lot:</w:t>
      </w:r>
      <w:r w:rsidRPr="00B33EE6">
        <w:rPr>
          <w:rStyle w:val="Emphasis"/>
          <w:i w:val="0"/>
          <w:sz w:val="22"/>
          <w:szCs w:val="22"/>
          <w:lang w:val="en-GB"/>
        </w:rPr>
        <w:t xml:space="preserve"> &lt;</w:t>
      </w:r>
      <w:r w:rsidR="00DA0ABA" w:rsidRPr="00B33EE6">
        <w:rPr>
          <w:rStyle w:val="Emphasis"/>
          <w:i w:val="0"/>
          <w:sz w:val="22"/>
          <w:szCs w:val="22"/>
          <w:highlight w:val="yellow"/>
          <w:lang w:val="en-GB"/>
        </w:rPr>
        <w:t>number of lots :</w:t>
      </w:r>
      <w:r w:rsidR="00DA0ABA" w:rsidRPr="00B33EE6">
        <w:rPr>
          <w:rStyle w:val="Emphasis"/>
          <w:i w:val="0"/>
          <w:sz w:val="22"/>
          <w:szCs w:val="22"/>
          <w:lang w:val="en-GB"/>
        </w:rPr>
        <w:t xml:space="preserve"> </w:t>
      </w:r>
      <w:r w:rsidR="00DA0ABA" w:rsidRPr="00B33EE6">
        <w:rPr>
          <w:rStyle w:val="Emphasis"/>
          <w:i w:val="0"/>
          <w:sz w:val="22"/>
          <w:szCs w:val="22"/>
          <w:highlight w:val="yellow"/>
          <w:lang w:val="en-GB"/>
        </w:rPr>
        <w:t>(min =2 max=20)</w:t>
      </w:r>
      <w:r w:rsidR="00DA0ABA" w:rsidRPr="00B33EE6">
        <w:rPr>
          <w:rStyle w:val="Emphasis"/>
          <w:i w:val="0"/>
          <w:sz w:val="22"/>
          <w:szCs w:val="22"/>
          <w:lang w:val="en-GB"/>
        </w:rPr>
        <w:t xml:space="preserve"> </w:t>
      </w:r>
      <w:r w:rsidR="006F5FD0" w:rsidRPr="00B33EE6">
        <w:rPr>
          <w:rStyle w:val="Emphasis"/>
          <w:i w:val="0"/>
          <w:sz w:val="22"/>
          <w:szCs w:val="22"/>
          <w:lang w:val="en-GB"/>
        </w:rPr>
        <w:t>&gt;</w:t>
      </w:r>
    </w:p>
    <w:p w14:paraId="23B24B8F" w14:textId="77777777" w:rsidR="00DA0ABA" w:rsidRPr="00B33EE6" w:rsidRDefault="00E9047D" w:rsidP="00584BF4">
      <w:pPr>
        <w:ind w:left="709" w:hanging="349"/>
        <w:outlineLvl w:val="0"/>
        <w:rPr>
          <w:rStyle w:val="Emphasis"/>
          <w:i w:val="0"/>
          <w:sz w:val="22"/>
          <w:szCs w:val="22"/>
          <w:highlight w:val="lightGray"/>
          <w:lang w:val="en-GB"/>
        </w:rPr>
      </w:pPr>
      <w:r w:rsidRPr="00B33EE6">
        <w:rPr>
          <w:rStyle w:val="Emphasis"/>
          <w:i w:val="0"/>
          <w:sz w:val="22"/>
          <w:szCs w:val="22"/>
          <w:lang w:val="en-GB"/>
        </w:rPr>
        <w:t>&lt;</w:t>
      </w:r>
      <w:r w:rsidR="00DA0ABA" w:rsidRPr="00B33EE6">
        <w:rPr>
          <w:rStyle w:val="Emphasis"/>
          <w:i w:val="0"/>
          <w:sz w:val="22"/>
          <w:szCs w:val="22"/>
          <w:highlight w:val="lightGray"/>
          <w:lang w:val="en-GB"/>
        </w:rPr>
        <w:t>Lots    Titles:</w:t>
      </w:r>
    </w:p>
    <w:p w14:paraId="0A097CE7" w14:textId="77777777" w:rsidR="00DA0ABA" w:rsidRPr="00B33EE6" w:rsidRDefault="00DA0ABA" w:rsidP="00584BF4">
      <w:pPr>
        <w:ind w:left="709" w:hanging="349"/>
        <w:outlineLvl w:val="0"/>
        <w:rPr>
          <w:rStyle w:val="Emphasis"/>
          <w:i w:val="0"/>
          <w:sz w:val="22"/>
          <w:szCs w:val="22"/>
          <w:highlight w:val="lightGray"/>
          <w:lang w:val="en-GB"/>
        </w:rPr>
      </w:pPr>
      <w:r w:rsidRPr="00B33EE6">
        <w:rPr>
          <w:rStyle w:val="Emphasis"/>
          <w:i w:val="0"/>
          <w:sz w:val="22"/>
          <w:szCs w:val="22"/>
          <w:highlight w:val="lightGray"/>
          <w:lang w:val="en-GB"/>
        </w:rPr>
        <w:t>01</w:t>
      </w:r>
    </w:p>
    <w:p w14:paraId="29095621" w14:textId="77777777" w:rsidR="00DA0ABA" w:rsidRPr="00B33EE6" w:rsidRDefault="00DA0ABA" w:rsidP="00584BF4">
      <w:pPr>
        <w:ind w:left="709" w:hanging="349"/>
        <w:outlineLvl w:val="0"/>
        <w:rPr>
          <w:rStyle w:val="Emphasis"/>
          <w:i w:val="0"/>
          <w:sz w:val="22"/>
          <w:szCs w:val="22"/>
          <w:lang w:val="en-GB"/>
        </w:rPr>
      </w:pPr>
      <w:r w:rsidRPr="00B33EE6">
        <w:rPr>
          <w:rStyle w:val="Emphasis"/>
          <w:i w:val="0"/>
          <w:sz w:val="22"/>
          <w:szCs w:val="22"/>
          <w:highlight w:val="lightGray"/>
          <w:lang w:val="en-GB"/>
        </w:rPr>
        <w:t>02</w:t>
      </w:r>
    </w:p>
    <w:p w14:paraId="6639E9E8" w14:textId="77777777" w:rsidR="00DA0ABA" w:rsidRPr="00B33EE6" w:rsidRDefault="00DA0ABA" w:rsidP="00584BF4">
      <w:pPr>
        <w:ind w:left="709" w:hanging="349"/>
        <w:outlineLvl w:val="0"/>
        <w:rPr>
          <w:rStyle w:val="Emphasis"/>
          <w:i w:val="0"/>
          <w:sz w:val="22"/>
          <w:szCs w:val="22"/>
          <w:lang w:val="en-GB"/>
        </w:rPr>
      </w:pPr>
      <w:r w:rsidRPr="00B33EE6">
        <w:rPr>
          <w:rStyle w:val="Emphasis"/>
          <w:i w:val="0"/>
          <w:sz w:val="22"/>
          <w:szCs w:val="22"/>
          <w:highlight w:val="yellow"/>
          <w:lang w:val="en-GB"/>
        </w:rPr>
        <w:t>(…)</w:t>
      </w:r>
      <w:r w:rsidR="00E9047D" w:rsidRPr="00B33EE6">
        <w:rPr>
          <w:rStyle w:val="Emphasis"/>
          <w:i w:val="0"/>
          <w:sz w:val="22"/>
          <w:szCs w:val="22"/>
          <w:lang w:val="en-GB"/>
        </w:rPr>
        <w:t>&gt;</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AA792E7" w14:textId="77777777" w:rsidR="00DA0ABA" w:rsidRPr="00B33EE6" w:rsidRDefault="00DA0ABA" w:rsidP="00584BF4">
      <w:pPr>
        <w:ind w:left="709" w:hanging="349"/>
        <w:outlineLvl w:val="0"/>
        <w:rPr>
          <w:rStyle w:val="Strong"/>
          <w:b w:val="0"/>
          <w:sz w:val="22"/>
          <w:szCs w:val="22"/>
          <w:lang w:val="en-GB"/>
        </w:rPr>
      </w:pPr>
      <w:r w:rsidRPr="00B33EE6">
        <w:rPr>
          <w:rStyle w:val="Strong"/>
          <w:b w:val="0"/>
          <w:sz w:val="22"/>
          <w:szCs w:val="22"/>
          <w:highlight w:val="yellow"/>
          <w:lang w:val="en-GB"/>
        </w:rPr>
        <w:t xml:space="preserve">Give figures </w:t>
      </w:r>
      <w:r w:rsidR="007471C5" w:rsidRPr="00B33EE6">
        <w:rPr>
          <w:rStyle w:val="Strong"/>
          <w:b w:val="0"/>
          <w:sz w:val="22"/>
          <w:szCs w:val="22"/>
          <w:highlight w:val="yellow"/>
          <w:lang w:val="en-GB"/>
        </w:rPr>
        <w:t>only:</w:t>
      </w:r>
      <w:r w:rsidRPr="00B33EE6">
        <w:rPr>
          <w:rStyle w:val="Strong"/>
          <w:b w:val="0"/>
          <w:sz w:val="22"/>
          <w:szCs w:val="22"/>
          <w:lang w:val="en-GB"/>
        </w:rPr>
        <w:t xml:space="preserve"> </w:t>
      </w:r>
    </w:p>
    <w:p w14:paraId="39BB965D" w14:textId="77777777" w:rsidR="00971962" w:rsidRPr="00B33EE6" w:rsidRDefault="00364564" w:rsidP="00971962">
      <w:pPr>
        <w:pStyle w:val="Blockquote"/>
        <w:jc w:val="both"/>
        <w:rPr>
          <w:sz w:val="22"/>
          <w:szCs w:val="22"/>
          <w:highlight w:val="yellow"/>
          <w:lang w:val="en-GB"/>
        </w:rPr>
      </w:pPr>
      <w:r w:rsidRPr="00B33EE6">
        <w:rPr>
          <w:sz w:val="22"/>
          <w:szCs w:val="22"/>
          <w:lang w:val="en-GB"/>
        </w:rPr>
        <w:t>[</w:t>
      </w:r>
      <w:r w:rsidR="00971962" w:rsidRPr="00B33EE6">
        <w:rPr>
          <w:sz w:val="22"/>
          <w:szCs w:val="22"/>
          <w:highlight w:val="lightGray"/>
          <w:lang w:val="en-GB"/>
        </w:rPr>
        <w:t>EUR</w:t>
      </w:r>
      <w:r w:rsidRPr="00B33EE6">
        <w:rPr>
          <w:sz w:val="22"/>
          <w:szCs w:val="22"/>
          <w:lang w:val="en-GB"/>
        </w:rPr>
        <w:t>]</w:t>
      </w:r>
      <w:r w:rsidR="00971962" w:rsidRPr="00B33EE6">
        <w:rPr>
          <w:sz w:val="22"/>
          <w:szCs w:val="22"/>
          <w:lang w:val="en-GB"/>
        </w:rPr>
        <w:t xml:space="preserve"> </w:t>
      </w:r>
      <w:r w:rsidRPr="00B33EE6">
        <w:rPr>
          <w:sz w:val="22"/>
          <w:szCs w:val="22"/>
          <w:lang w:val="en-GB"/>
        </w:rPr>
        <w:t>[</w:t>
      </w:r>
      <w:r w:rsidRPr="00B33EE6">
        <w:rPr>
          <w:sz w:val="22"/>
          <w:szCs w:val="22"/>
          <w:highlight w:val="lightGray"/>
          <w:lang w:val="en-GB"/>
        </w:rPr>
        <w:t>&lt;</w:t>
      </w:r>
      <w:r w:rsidR="00971962" w:rsidRPr="00B33EE6">
        <w:rPr>
          <w:sz w:val="22"/>
          <w:szCs w:val="22"/>
          <w:highlight w:val="yellow"/>
          <w:lang w:val="en-GB"/>
        </w:rPr>
        <w:t>ISO code of national currency</w:t>
      </w:r>
      <w:r w:rsidR="00F77C8A" w:rsidRPr="00B33EE6">
        <w:rPr>
          <w:sz w:val="22"/>
          <w:szCs w:val="22"/>
          <w:highlight w:val="yellow"/>
          <w:lang w:val="en-GB"/>
        </w:rPr>
        <w:t xml:space="preserve"> </w:t>
      </w:r>
      <w:r w:rsidR="00F77C8A" w:rsidRPr="00B33EE6">
        <w:rPr>
          <w:sz w:val="22"/>
          <w:szCs w:val="22"/>
          <w:highlight w:val="lightGray"/>
          <w:lang w:val="en-GB"/>
        </w:rPr>
        <w:t>&gt;</w:t>
      </w:r>
      <w:r w:rsidR="00F77C8A" w:rsidRPr="00B33EE6">
        <w:rPr>
          <w:sz w:val="22"/>
          <w:szCs w:val="22"/>
          <w:highlight w:val="yellow"/>
          <w:lang w:val="en-GB"/>
        </w:rPr>
        <w:t xml:space="preserve"> only for indirect management in the following cases: (i) when legal or local constraints exceptionally impose using the national currency; (ii) when needed, for contracts within the imprest component of a programme estimate</w:t>
      </w:r>
      <w:r w:rsidR="00971962" w:rsidRPr="00B33EE6">
        <w:rPr>
          <w:sz w:val="22"/>
          <w:szCs w:val="22"/>
          <w:lang w:val="en-GB"/>
        </w:rPr>
        <w:t>&gt;</w:t>
      </w:r>
      <w:r w:rsidRPr="00B33EE6">
        <w:rPr>
          <w:sz w:val="22"/>
          <w:szCs w:val="22"/>
          <w:lang w:val="en-GB"/>
        </w:rPr>
        <w:t>] &lt;</w:t>
      </w:r>
      <w:r w:rsidRPr="00B33EE6">
        <w:rPr>
          <w:sz w:val="22"/>
          <w:szCs w:val="22"/>
          <w:highlight w:val="yellow"/>
          <w:lang w:val="en-GB"/>
        </w:rPr>
        <w:t>amount</w:t>
      </w:r>
      <w:r w:rsidRPr="00B33EE6">
        <w:rPr>
          <w:sz w:val="22"/>
          <w:szCs w:val="22"/>
          <w:lang w:val="en-GB"/>
        </w:rPr>
        <w:t>&gt;</w:t>
      </w:r>
    </w:p>
    <w:p w14:paraId="6C843D95" w14:textId="77777777" w:rsidR="006F5FD0" w:rsidRPr="00B33EE6" w:rsidRDefault="00C14D56">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5CB64AD9" w14:textId="77777777" w:rsidR="00B9793F" w:rsidRPr="00C348D5" w:rsidRDefault="00B9793F" w:rsidP="00B9793F">
      <w:pPr>
        <w:pStyle w:val="paragraph"/>
        <w:spacing w:before="0" w:beforeAutospacing="0" w:after="0" w:afterAutospacing="0"/>
        <w:ind w:left="426"/>
        <w:jc w:val="center"/>
        <w:textAlignment w:val="baseline"/>
        <w:rPr>
          <w:rStyle w:val="normaltextrun"/>
          <w:b/>
          <w:sz w:val="22"/>
          <w:szCs w:val="22"/>
          <w:highlight w:val="yellow"/>
          <w:lang w:val="en-GB"/>
        </w:rPr>
      </w:pPr>
      <w:r w:rsidRPr="00C348D5">
        <w:rPr>
          <w:rStyle w:val="normaltextrun"/>
          <w:b/>
          <w:sz w:val="22"/>
          <w:szCs w:val="22"/>
          <w:highlight w:val="yellow"/>
          <w:lang w:val="en-IE"/>
        </w:rPr>
        <w:t>[For commitments financed by a basic act under the MFF 2021-2027</w:t>
      </w:r>
      <w:r w:rsidRPr="00C348D5">
        <w:rPr>
          <w:rStyle w:val="normaltextrun"/>
          <w:b/>
          <w:sz w:val="22"/>
          <w:szCs w:val="22"/>
          <w:highlight w:val="yellow"/>
          <w:lang w:val="en-GB"/>
        </w:rPr>
        <w:t>:</w:t>
      </w:r>
    </w:p>
    <w:p w14:paraId="58624CBC" w14:textId="77777777" w:rsidR="00B9793F" w:rsidRPr="00F72244" w:rsidRDefault="00B9793F" w:rsidP="00B9793F">
      <w:pPr>
        <w:pStyle w:val="paragraph"/>
        <w:spacing w:before="0" w:beforeAutospacing="0" w:after="0" w:afterAutospacing="0"/>
        <w:ind w:left="426"/>
        <w:textAlignment w:val="baseline"/>
        <w:rPr>
          <w:rStyle w:val="eop"/>
          <w:color w:val="FF0000"/>
          <w:sz w:val="22"/>
          <w:szCs w:val="22"/>
          <w:lang w:val="en-US"/>
        </w:rPr>
      </w:pPr>
      <w:r w:rsidRPr="00F72244">
        <w:rPr>
          <w:rStyle w:val="eop"/>
          <w:color w:val="FF0000"/>
          <w:sz w:val="22"/>
          <w:szCs w:val="22"/>
          <w:lang w:val="en-US"/>
        </w:rPr>
        <w:t> </w:t>
      </w:r>
    </w:p>
    <w:p w14:paraId="4E26A356" w14:textId="58E04A9F" w:rsidR="00B9793F" w:rsidRPr="00C348D5" w:rsidRDefault="00B9793F" w:rsidP="00B9793F">
      <w:pPr>
        <w:snapToGrid w:val="0"/>
        <w:ind w:left="426"/>
        <w:rPr>
          <w:iCs/>
          <w:sz w:val="22"/>
          <w:szCs w:val="22"/>
          <w:lang w:val="en-IE"/>
        </w:rPr>
      </w:pPr>
      <w:r w:rsidRPr="00C348D5">
        <w:rPr>
          <w:iCs/>
          <w:sz w:val="22"/>
          <w:szCs w:val="22"/>
          <w:highlight w:val="yellow"/>
          <w:lang w:val="en-IE"/>
        </w:rPr>
        <w:t xml:space="preserve">[For NDICI and </w:t>
      </w:r>
      <w:r w:rsidR="00327E0B" w:rsidRPr="006E1BD0">
        <w:rPr>
          <w:iCs/>
          <w:sz w:val="22"/>
          <w:szCs w:val="22"/>
          <w:highlight w:val="yellow"/>
          <w:lang w:val="en-IE"/>
        </w:rPr>
        <w:t>OAD-Greenland</w:t>
      </w:r>
      <w:r w:rsidRPr="00C348D5">
        <w:rPr>
          <w:iCs/>
          <w:sz w:val="22"/>
          <w:szCs w:val="22"/>
          <w:highlight w:val="yellow"/>
          <w:lang w:val="en-IE"/>
        </w:rPr>
        <w:t xml:space="preserve"> Decision 2021/</w:t>
      </w:r>
      <w:r w:rsidR="00445514">
        <w:rPr>
          <w:iCs/>
          <w:sz w:val="22"/>
          <w:szCs w:val="22"/>
          <w:highlight w:val="yellow"/>
          <w:lang w:val="en-IE"/>
        </w:rPr>
        <w:t>1764</w:t>
      </w:r>
      <w:r w:rsidR="0038795F">
        <w:rPr>
          <w:rStyle w:val="FootnoteReference"/>
          <w:iCs/>
          <w:sz w:val="22"/>
          <w:szCs w:val="22"/>
          <w:highlight w:val="yellow"/>
          <w:lang w:val="en-IE"/>
        </w:rPr>
        <w:footnoteReference w:id="1"/>
      </w:r>
      <w:r w:rsidRPr="00C348D5">
        <w:rPr>
          <w:iCs/>
          <w:sz w:val="22"/>
          <w:szCs w:val="22"/>
          <w:highlight w:val="yellow"/>
          <w:lang w:val="en-IE"/>
        </w:rPr>
        <w:t>:</w:t>
      </w:r>
      <w:r w:rsidRPr="00C348D5">
        <w:rPr>
          <w:iCs/>
          <w:sz w:val="22"/>
          <w:szCs w:val="22"/>
          <w:lang w:val="en-IE"/>
        </w:rPr>
        <w:t xml:space="preserve"> </w:t>
      </w:r>
    </w:p>
    <w:p w14:paraId="3B54E851" w14:textId="0D728483" w:rsidR="00B9793F" w:rsidRPr="00C348D5" w:rsidRDefault="00B9793F" w:rsidP="006E1BD0">
      <w:pPr>
        <w:pStyle w:val="paragraph"/>
        <w:ind w:left="426"/>
        <w:jc w:val="both"/>
        <w:textAlignment w:val="baseline"/>
        <w:rPr>
          <w:iCs/>
          <w:sz w:val="22"/>
          <w:szCs w:val="22"/>
          <w:lang w:val="en-IE"/>
        </w:rPr>
      </w:pPr>
      <w:r w:rsidRPr="00B9793F">
        <w:rPr>
          <w:rStyle w:val="eop"/>
          <w:sz w:val="22"/>
          <w:szCs w:val="22"/>
          <w:highlight w:val="lightGray"/>
          <w:lang w:val="en-GB"/>
        </w:rPr>
        <w:lastRenderedPageBreak/>
        <w:t>The le</w:t>
      </w:r>
      <w:r w:rsidRPr="00B9793F">
        <w:rPr>
          <w:rStyle w:val="eop"/>
          <w:sz w:val="22"/>
          <w:szCs w:val="22"/>
          <w:highlight w:val="lightGray"/>
          <w:lang w:val="en-US"/>
        </w:rPr>
        <w:t xml:space="preserve">gal basis of this procedure is </w:t>
      </w:r>
      <w:r w:rsidRPr="00C348D5">
        <w:rPr>
          <w:iCs/>
          <w:sz w:val="22"/>
          <w:szCs w:val="22"/>
          <w:highlight w:val="yellow"/>
          <w:lang w:val="en-GB"/>
        </w:rPr>
        <w:t>&lt;</w:t>
      </w:r>
      <w:r w:rsidRPr="00F72244">
        <w:rPr>
          <w:iCs/>
          <w:sz w:val="22"/>
          <w:szCs w:val="22"/>
          <w:highlight w:val="yellow"/>
          <w:lang w:val="en-GB"/>
        </w:rPr>
        <w:t>Regulation (EU) N</w:t>
      </w:r>
      <w:r>
        <w:rPr>
          <w:iCs/>
          <w:sz w:val="22"/>
          <w:szCs w:val="22"/>
          <w:highlight w:val="yellow"/>
          <w:lang w:val="en-GB"/>
        </w:rPr>
        <w:t>° 2021/947</w:t>
      </w:r>
      <w:r w:rsidRPr="00F72244">
        <w:rPr>
          <w:iCs/>
          <w:sz w:val="22"/>
          <w:szCs w:val="22"/>
          <w:highlight w:val="yellow"/>
          <w:lang w:val="en-GB"/>
        </w:rPr>
        <w:t xml:space="preserve"> </w:t>
      </w:r>
      <w:r w:rsidRPr="00F72244">
        <w:rPr>
          <w:iCs/>
          <w:sz w:val="22"/>
          <w:szCs w:val="22"/>
          <w:highlight w:val="yellow"/>
          <w:lang w:val="en-IE"/>
        </w:rPr>
        <w:t>establishing the Neighbourhood, Development and International Cooperation Instrument</w:t>
      </w:r>
      <w:r>
        <w:rPr>
          <w:iCs/>
          <w:sz w:val="22"/>
          <w:szCs w:val="22"/>
          <w:highlight w:val="yellow"/>
          <w:lang w:val="en-IE"/>
        </w:rPr>
        <w:t xml:space="preserve"> – Global Europe</w:t>
      </w:r>
      <w:r w:rsidRPr="00F72244">
        <w:rPr>
          <w:iCs/>
          <w:sz w:val="22"/>
          <w:szCs w:val="22"/>
          <w:highlight w:val="yellow"/>
          <w:lang w:val="en-IE"/>
        </w:rPr>
        <w:t xml:space="preserve"> (NDICI)</w:t>
      </w:r>
      <w:r w:rsidRPr="001F6AB7">
        <w:rPr>
          <w:highlight w:val="yellow"/>
          <w:vertAlign w:val="superscript"/>
        </w:rPr>
        <w:footnoteReference w:id="2"/>
      </w:r>
      <w:r>
        <w:rPr>
          <w:iCs/>
          <w:sz w:val="22"/>
          <w:szCs w:val="22"/>
          <w:highlight w:val="yellow"/>
          <w:lang w:val="en-IE"/>
        </w:rPr>
        <w:t xml:space="preserve"> </w:t>
      </w:r>
      <w:r w:rsidRPr="00327E0B">
        <w:rPr>
          <w:iCs/>
          <w:sz w:val="22"/>
          <w:szCs w:val="22"/>
          <w:highlight w:val="yellow"/>
          <w:lang w:val="en-IE"/>
        </w:rPr>
        <w:t>&gt;/&lt;</w:t>
      </w:r>
      <w:r w:rsidR="00327E0B" w:rsidRPr="006E1BD0">
        <w:rPr>
          <w:iCs/>
          <w:sz w:val="22"/>
          <w:szCs w:val="22"/>
          <w:highlight w:val="yellow"/>
          <w:lang w:val="en-IE"/>
        </w:rPr>
        <w:t xml:space="preserve"> OAD-Greenland</w:t>
      </w:r>
      <w:r w:rsidR="00327E0B" w:rsidRPr="006E1BD0">
        <w:rPr>
          <w:iCs/>
          <w:highlight w:val="yellow"/>
          <w:lang w:val="en-IE"/>
        </w:rPr>
        <w:t xml:space="preserve"> </w:t>
      </w:r>
      <w:r w:rsidRPr="00C348D5">
        <w:rPr>
          <w:iCs/>
          <w:sz w:val="22"/>
          <w:szCs w:val="22"/>
          <w:highlight w:val="yellow"/>
          <w:lang w:val="en-IE"/>
        </w:rPr>
        <w:t>Decision 2021/</w:t>
      </w:r>
      <w:r w:rsidR="00445514">
        <w:rPr>
          <w:iCs/>
          <w:sz w:val="22"/>
          <w:szCs w:val="22"/>
          <w:highlight w:val="yellow"/>
          <w:lang w:val="en-IE"/>
        </w:rPr>
        <w:t>1764</w:t>
      </w:r>
      <w:r w:rsidRPr="003D2CB4">
        <w:rPr>
          <w:iCs/>
          <w:sz w:val="22"/>
          <w:szCs w:val="22"/>
          <w:highlight w:val="yellow"/>
          <w:lang w:val="en-IE"/>
        </w:rPr>
        <w:t>&gt;</w:t>
      </w:r>
      <w:r w:rsidRPr="00CB3E5C">
        <w:rPr>
          <w:iCs/>
          <w:sz w:val="22"/>
          <w:szCs w:val="22"/>
          <w:highlight w:val="yellow"/>
          <w:lang w:val="en-IE"/>
        </w:rPr>
        <w:t>.</w:t>
      </w:r>
      <w:r w:rsidRPr="00CB3E5C">
        <w:rPr>
          <w:rStyle w:val="normaltextrun"/>
          <w:sz w:val="22"/>
          <w:szCs w:val="22"/>
          <w:highlight w:val="yellow"/>
          <w:shd w:val="clear" w:color="auto" w:fill="C0C0C0"/>
          <w:lang w:val="en-GB"/>
        </w:rPr>
        <w:t xml:space="preserve"> </w:t>
      </w:r>
      <w:r w:rsidRPr="00B9793F">
        <w:rPr>
          <w:rStyle w:val="normaltextrun"/>
          <w:sz w:val="22"/>
          <w:szCs w:val="22"/>
          <w:highlight w:val="lightGray"/>
          <w:shd w:val="clear" w:color="auto" w:fill="C0C0C0"/>
          <w:lang w:val="en-GB"/>
        </w:rPr>
        <w:t>See Annex A2 of the practical guide.</w:t>
      </w:r>
    </w:p>
    <w:p w14:paraId="43614F9B" w14:textId="7D524431" w:rsidR="00B9793F" w:rsidRPr="00B9793F" w:rsidRDefault="00B9793F" w:rsidP="00B9793F">
      <w:pPr>
        <w:spacing w:after="0"/>
        <w:ind w:left="426"/>
        <w:jc w:val="both"/>
        <w:rPr>
          <w:iCs/>
          <w:sz w:val="22"/>
          <w:szCs w:val="22"/>
          <w:highlight w:val="lightGray"/>
          <w:lang w:val="en-IE"/>
        </w:rPr>
      </w:pPr>
      <w:r w:rsidRPr="00C348D5">
        <w:rPr>
          <w:iCs/>
          <w:sz w:val="22"/>
          <w:szCs w:val="22"/>
          <w:highlight w:val="yellow"/>
          <w:lang w:val="en-IE"/>
        </w:rPr>
        <w:t xml:space="preserve">For financing under the </w:t>
      </w:r>
      <w:r w:rsidR="00327E0B" w:rsidRPr="00906527">
        <w:rPr>
          <w:iCs/>
          <w:sz w:val="22"/>
          <w:szCs w:val="22"/>
          <w:highlight w:val="yellow"/>
          <w:lang w:val="en-IE"/>
        </w:rPr>
        <w:t>OAD-Greenland</w:t>
      </w:r>
      <w:r w:rsidRPr="00C348D5">
        <w:rPr>
          <w:iCs/>
          <w:sz w:val="22"/>
          <w:szCs w:val="22"/>
          <w:highlight w:val="yellow"/>
          <w:lang w:val="en-IE"/>
        </w:rPr>
        <w:t xml:space="preserve"> Decision 2021/</w:t>
      </w:r>
      <w:r w:rsidR="00445514">
        <w:rPr>
          <w:iCs/>
          <w:sz w:val="22"/>
          <w:szCs w:val="22"/>
          <w:highlight w:val="yellow"/>
          <w:lang w:val="en-IE"/>
        </w:rPr>
        <w:t>1764</w:t>
      </w:r>
      <w:r w:rsidRPr="00C348D5">
        <w:rPr>
          <w:iCs/>
          <w:sz w:val="22"/>
          <w:szCs w:val="22"/>
          <w:highlight w:val="yellow"/>
          <w:lang w:val="en-IE"/>
        </w:rPr>
        <w:t xml:space="preserve"> and NDICI geographic programmes, Civil Society Organisations and Global Challenges programmes:</w:t>
      </w:r>
    </w:p>
    <w:p w14:paraId="0737C188" w14:textId="542F956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For this contract award procedure, financed by &lt;</w:t>
      </w:r>
      <w:r w:rsidR="00327E0B" w:rsidRPr="00327E0B">
        <w:rPr>
          <w:iCs/>
          <w:sz w:val="22"/>
          <w:szCs w:val="22"/>
          <w:highlight w:val="yellow"/>
          <w:lang w:val="en-IE"/>
        </w:rPr>
        <w:t xml:space="preserve"> </w:t>
      </w:r>
      <w:r w:rsidR="00327E0B" w:rsidRPr="00906527">
        <w:rPr>
          <w:iCs/>
          <w:sz w:val="22"/>
          <w:szCs w:val="22"/>
          <w:highlight w:val="yellow"/>
          <w:lang w:val="en-IE"/>
        </w:rPr>
        <w:t>OAD-Greenland</w:t>
      </w:r>
      <w:r w:rsidRPr="00C348D5">
        <w:rPr>
          <w:iCs/>
          <w:sz w:val="22"/>
          <w:szCs w:val="22"/>
          <w:highlight w:val="yellow"/>
          <w:lang w:val="en-IE"/>
        </w:rPr>
        <w:t xml:space="preserve"> Decision 2021/</w:t>
      </w:r>
      <w:r w:rsidR="00445514">
        <w:rPr>
          <w:iCs/>
          <w:sz w:val="22"/>
          <w:szCs w:val="22"/>
          <w:highlight w:val="yellow"/>
          <w:lang w:val="en-IE"/>
        </w:rPr>
        <w:t>1764</w:t>
      </w:r>
      <w:r w:rsidRPr="00C348D5">
        <w:rPr>
          <w:iCs/>
          <w:sz w:val="22"/>
          <w:szCs w:val="22"/>
          <w:highlight w:val="yellow"/>
          <w:lang w:val="en-IE"/>
        </w:rPr>
        <w:t>&gt;/&lt;NDICI geographic programmes&gt;/&lt;NDICI Civil Society Organisations programme&gt;/&lt;NDICI Global Challenges programme</w:t>
      </w:r>
      <w:r w:rsidRPr="00B9793F">
        <w:rPr>
          <w:iCs/>
          <w:sz w:val="22"/>
          <w:szCs w:val="22"/>
          <w:highlight w:val="lightGray"/>
          <w:lang w:val="en-IE"/>
        </w:rPr>
        <w:t>&gt;,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w:t>
      </w:r>
      <w:r w:rsidR="0006084A">
        <w:rPr>
          <w:iCs/>
          <w:sz w:val="22"/>
          <w:szCs w:val="22"/>
          <w:highlight w:val="lightGray"/>
          <w:lang w:val="en-IE"/>
        </w:rPr>
        <w:t xml:space="preserve">8 </w:t>
      </w:r>
      <w:r w:rsidRPr="00B9793F">
        <w:rPr>
          <w:iCs/>
          <w:sz w:val="22"/>
          <w:szCs w:val="22"/>
          <w:highlight w:val="lightGray"/>
          <w:lang w:val="en-IE"/>
        </w:rPr>
        <w:t>of Regulation (EU) </w:t>
      </w:r>
      <w:r w:rsidRPr="006E1BD0">
        <w:rPr>
          <w:iCs/>
          <w:sz w:val="22"/>
          <w:szCs w:val="22"/>
          <w:highlight w:val="lightGray"/>
          <w:lang w:val="en-IE"/>
        </w:rPr>
        <w:t>N° 2021/947</w:t>
      </w:r>
      <w:r w:rsidR="00BD69EF" w:rsidRPr="006E1BD0">
        <w:rPr>
          <w:iCs/>
          <w:sz w:val="22"/>
          <w:szCs w:val="22"/>
          <w:highlight w:val="lightGray"/>
          <w:lang w:val="en-IE"/>
        </w:rPr>
        <w:t>.</w:t>
      </w:r>
    </w:p>
    <w:p w14:paraId="0108382E" w14:textId="77777777" w:rsidR="00B9793F" w:rsidRDefault="00B9793F" w:rsidP="00B9793F">
      <w:pPr>
        <w:spacing w:after="0"/>
        <w:ind w:left="426"/>
        <w:jc w:val="both"/>
        <w:rPr>
          <w:iCs/>
          <w:sz w:val="22"/>
          <w:szCs w:val="22"/>
          <w:lang w:val="en-IE"/>
        </w:rPr>
      </w:pPr>
      <w:r w:rsidRPr="00C348D5">
        <w:rPr>
          <w:iCs/>
          <w:sz w:val="22"/>
          <w:szCs w:val="22"/>
          <w:highlight w:val="yellow"/>
          <w:lang w:val="en-IE"/>
        </w:rPr>
        <w:t>For financing under NDICI Human Rights and Democracy and Stability and Peace programmes, as well as for the rapid response actions:</w:t>
      </w:r>
      <w:r w:rsidRPr="00C348D5">
        <w:rPr>
          <w:iCs/>
          <w:sz w:val="22"/>
          <w:szCs w:val="22"/>
          <w:lang w:val="en-IE"/>
        </w:rPr>
        <w:t xml:space="preserve"> </w:t>
      </w:r>
    </w:p>
    <w:p w14:paraId="335FF1E9" w14:textId="77777777" w:rsidR="00B9793F" w:rsidRPr="00B9793F" w:rsidRDefault="00B9793F" w:rsidP="00B9793F">
      <w:pPr>
        <w:spacing w:after="0"/>
        <w:ind w:left="426"/>
        <w:jc w:val="both"/>
        <w:rPr>
          <w:iCs/>
          <w:sz w:val="22"/>
          <w:szCs w:val="22"/>
          <w:highlight w:val="lightGray"/>
          <w:lang w:val="en-IE"/>
        </w:rPr>
      </w:pPr>
      <w:r w:rsidRPr="00B9793F">
        <w:rPr>
          <w:iCs/>
          <w:sz w:val="22"/>
          <w:szCs w:val="22"/>
          <w:highlight w:val="lightGray"/>
          <w:lang w:val="en-IE"/>
        </w:rPr>
        <w:t>For this contract award procedure, financed by &lt;</w:t>
      </w:r>
      <w:r w:rsidRPr="00C348D5">
        <w:rPr>
          <w:iCs/>
          <w:sz w:val="22"/>
          <w:szCs w:val="22"/>
          <w:highlight w:val="yellow"/>
          <w:lang w:val="en-IE"/>
        </w:rPr>
        <w:t>NDICI Human Rights and Democracy programme&gt;/&lt;NDICI Stability and Peace programme&gt;/&lt;NDICI rapid response actions</w:t>
      </w:r>
      <w:r w:rsidRPr="00B9793F">
        <w:rPr>
          <w:iCs/>
          <w:sz w:val="22"/>
          <w:szCs w:val="22"/>
          <w:highlight w:val="lightGray"/>
          <w:lang w:val="en-IE"/>
        </w:rPr>
        <w:t xml:space="preserve">&gt;, participation is open without limitations. </w:t>
      </w:r>
    </w:p>
    <w:p w14:paraId="02D05024" w14:textId="6C6BF24C" w:rsidR="00B9793F" w:rsidRPr="00C348D5" w:rsidRDefault="00B9793F" w:rsidP="00B9793F">
      <w:pPr>
        <w:spacing w:after="0"/>
        <w:ind w:left="426"/>
        <w:jc w:val="both"/>
        <w:rPr>
          <w:iCs/>
          <w:sz w:val="22"/>
          <w:szCs w:val="22"/>
          <w:lang w:val="en-IE"/>
        </w:rPr>
      </w:pPr>
      <w:r w:rsidRPr="00B9793F">
        <w:rPr>
          <w:iCs/>
          <w:sz w:val="22"/>
          <w:szCs w:val="22"/>
          <w:highlight w:val="lightGray"/>
          <w:lang w:val="en-IE"/>
        </w:rPr>
        <w:t>Participation is also open to international organisations.</w:t>
      </w:r>
      <w:r w:rsidR="00482E0D">
        <w:rPr>
          <w:iCs/>
          <w:sz w:val="22"/>
          <w:szCs w:val="22"/>
          <w:lang w:val="en-IE"/>
        </w:rPr>
        <w:t>]</w:t>
      </w:r>
    </w:p>
    <w:p w14:paraId="0C9F218D" w14:textId="77777777" w:rsidR="00B9793F" w:rsidRPr="00C348D5" w:rsidRDefault="00B9793F" w:rsidP="006E1BD0">
      <w:pPr>
        <w:pStyle w:val="paragraph"/>
        <w:spacing w:before="0" w:beforeAutospacing="0" w:after="0" w:afterAutospacing="0"/>
        <w:jc w:val="both"/>
        <w:textAlignment w:val="baseline"/>
        <w:rPr>
          <w:rFonts w:ascii="Segoe UI" w:hAnsi="Segoe UI" w:cs="Segoe UI"/>
          <w:sz w:val="22"/>
          <w:szCs w:val="22"/>
          <w:lang w:val="en-US"/>
        </w:rPr>
      </w:pPr>
    </w:p>
    <w:p w14:paraId="4FD6DD5A" w14:textId="100819A9" w:rsidR="00B9793F" w:rsidRPr="009E4FF5" w:rsidRDefault="00B9793F" w:rsidP="00B9793F">
      <w:pPr>
        <w:spacing w:after="0"/>
        <w:ind w:left="426"/>
        <w:jc w:val="both"/>
        <w:rPr>
          <w:iCs/>
          <w:sz w:val="22"/>
          <w:szCs w:val="22"/>
          <w:lang w:val="en-IE"/>
        </w:rPr>
      </w:pPr>
      <w:r w:rsidRPr="00C348D5">
        <w:rPr>
          <w:iCs/>
          <w:sz w:val="22"/>
          <w:szCs w:val="22"/>
          <w:highlight w:val="yellow"/>
          <w:lang w:val="en-IE"/>
        </w:rPr>
        <w:t>[For</w:t>
      </w:r>
      <w:r w:rsidR="00327E0B">
        <w:rPr>
          <w:iCs/>
          <w:sz w:val="22"/>
          <w:szCs w:val="22"/>
          <w:highlight w:val="yellow"/>
          <w:lang w:val="en-IE"/>
        </w:rPr>
        <w:t xml:space="preserve"> </w:t>
      </w:r>
      <w:r w:rsidR="00327E0B" w:rsidRPr="006E1BD0">
        <w:rPr>
          <w:iCs/>
          <w:sz w:val="22"/>
          <w:szCs w:val="22"/>
          <w:highlight w:val="yellow"/>
          <w:lang w:val="en-IE"/>
        </w:rPr>
        <w:t>INSC</w:t>
      </w:r>
      <w:r w:rsidR="006E0C6A">
        <w:rPr>
          <w:iCs/>
          <w:sz w:val="22"/>
          <w:szCs w:val="22"/>
          <w:highlight w:val="yellow"/>
          <w:lang w:val="en-IE"/>
        </w:rPr>
        <w:t xml:space="preserve"> </w:t>
      </w:r>
      <w:r w:rsidRPr="00C348D5">
        <w:rPr>
          <w:iCs/>
          <w:sz w:val="22"/>
          <w:szCs w:val="22"/>
          <w:highlight w:val="yellow"/>
          <w:lang w:val="en-IE"/>
        </w:rPr>
        <w:t>2021/</w:t>
      </w:r>
      <w:r>
        <w:rPr>
          <w:iCs/>
          <w:sz w:val="22"/>
          <w:szCs w:val="22"/>
          <w:highlight w:val="yellow"/>
          <w:lang w:val="en-IE"/>
        </w:rPr>
        <w:t xml:space="preserve">948 </w:t>
      </w:r>
      <w:r>
        <w:rPr>
          <w:rStyle w:val="FootnoteReference"/>
          <w:iCs/>
          <w:sz w:val="22"/>
          <w:szCs w:val="22"/>
          <w:highlight w:val="yellow"/>
          <w:lang w:val="en-IE"/>
        </w:rPr>
        <w:footnoteReference w:id="3"/>
      </w:r>
      <w:r w:rsidRPr="00C348D5">
        <w:rPr>
          <w:iCs/>
          <w:sz w:val="22"/>
          <w:szCs w:val="22"/>
          <w:highlight w:val="yellow"/>
          <w:lang w:val="en-IE"/>
        </w:rPr>
        <w:t>:</w:t>
      </w:r>
    </w:p>
    <w:p w14:paraId="00F6A496" w14:textId="7777777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The legal basis of this procedure is</w:t>
      </w:r>
      <w:r w:rsidRPr="00B9793F">
        <w:rPr>
          <w:b/>
          <w:iCs/>
          <w:sz w:val="22"/>
          <w:szCs w:val="22"/>
          <w:highlight w:val="lightGray"/>
          <w:lang w:val="en-IE"/>
        </w:rPr>
        <w:t xml:space="preserve"> </w:t>
      </w:r>
      <w:r w:rsidRPr="00C348D5">
        <w:rPr>
          <w:iCs/>
          <w:sz w:val="22"/>
          <w:szCs w:val="22"/>
          <w:highlight w:val="yellow"/>
          <w:lang w:val="en-IE"/>
        </w:rPr>
        <w:t>&lt;</w:t>
      </w:r>
      <w:r w:rsidRPr="00B45983">
        <w:rPr>
          <w:rStyle w:val="normaltextrun"/>
          <w:sz w:val="22"/>
          <w:szCs w:val="22"/>
          <w:shd w:val="clear" w:color="auto" w:fill="FFFF00"/>
          <w:lang w:val="en-GB" w:eastAsia="fr-BE"/>
        </w:rPr>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w:t>
      </w:r>
      <w:r w:rsidRPr="00B45983">
        <w:rPr>
          <w:rStyle w:val="normaltextrun"/>
          <w:shd w:val="clear" w:color="auto" w:fill="FFFF00"/>
          <w:lang w:val="en-GB" w:eastAsia="fr-BE"/>
        </w:rPr>
        <w:t>&gt;</w:t>
      </w:r>
      <w:r w:rsidRPr="006F2C5A">
        <w:rPr>
          <w:rStyle w:val="normaltextrun"/>
          <w:sz w:val="22"/>
          <w:szCs w:val="22"/>
          <w:shd w:val="clear" w:color="auto" w:fill="C0C0C0"/>
          <w:lang w:val="en-GB"/>
        </w:rPr>
        <w:t xml:space="preserve">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14:paraId="1114C7BE" w14:textId="77777777" w:rsidR="00B9793F" w:rsidRPr="00B9793F" w:rsidRDefault="00B9793F" w:rsidP="00B9793F">
      <w:pPr>
        <w:spacing w:after="0"/>
        <w:ind w:left="426"/>
        <w:jc w:val="both"/>
        <w:rPr>
          <w:iCs/>
          <w:sz w:val="22"/>
          <w:szCs w:val="22"/>
          <w:highlight w:val="lightGray"/>
          <w:lang w:val="en-IE"/>
        </w:rPr>
      </w:pPr>
      <w:r w:rsidRPr="00B9793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 2021/948</w:t>
      </w:r>
      <w:r w:rsidR="00BD69EF">
        <w:rPr>
          <w:iCs/>
          <w:sz w:val="22"/>
          <w:szCs w:val="22"/>
          <w:highlight w:val="lightGray"/>
          <w:lang w:val="en-IE"/>
        </w:rPr>
        <w:t>.</w:t>
      </w:r>
    </w:p>
    <w:p w14:paraId="653F6ECF" w14:textId="10CA9A94" w:rsidR="00B9793F" w:rsidRPr="00C348D5" w:rsidRDefault="00B9793F" w:rsidP="00B9793F">
      <w:pPr>
        <w:spacing w:after="0"/>
        <w:ind w:left="426"/>
        <w:jc w:val="both"/>
        <w:rPr>
          <w:iCs/>
          <w:sz w:val="22"/>
          <w:szCs w:val="22"/>
          <w:lang w:val="en-IE"/>
        </w:rPr>
      </w:pPr>
      <w:r w:rsidRPr="00B9793F">
        <w:rPr>
          <w:iCs/>
          <w:sz w:val="22"/>
          <w:szCs w:val="22"/>
          <w:highlight w:val="lightGray"/>
          <w:lang w:val="en-IE"/>
        </w:rPr>
        <w:t>Participation is also open to international organisations.</w:t>
      </w:r>
      <w:r w:rsidR="00482E0D">
        <w:rPr>
          <w:iCs/>
          <w:sz w:val="22"/>
          <w:szCs w:val="22"/>
          <w:lang w:val="en-IE"/>
        </w:rPr>
        <w:t>]</w:t>
      </w:r>
    </w:p>
    <w:p w14:paraId="4D8AD5AD" w14:textId="21CD1760" w:rsidR="00B9793F" w:rsidRPr="00525840"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6234212B" w14:textId="408373A0" w:rsidR="00B9793F" w:rsidRPr="00C348D5" w:rsidRDefault="00B9793F" w:rsidP="00B9793F">
      <w:pPr>
        <w:spacing w:after="0"/>
        <w:ind w:left="426"/>
        <w:jc w:val="both"/>
        <w:rPr>
          <w:iCs/>
          <w:sz w:val="22"/>
          <w:szCs w:val="22"/>
          <w:lang w:val="en-IE"/>
        </w:rPr>
      </w:pPr>
      <w:r w:rsidRPr="00C348D5">
        <w:rPr>
          <w:iCs/>
          <w:sz w:val="22"/>
          <w:szCs w:val="22"/>
          <w:highlight w:val="yellow"/>
          <w:lang w:val="en-IE"/>
        </w:rPr>
        <w:t>[For IPA III 2021/</w:t>
      </w:r>
      <w:r w:rsidR="00445514">
        <w:rPr>
          <w:iCs/>
          <w:sz w:val="22"/>
          <w:szCs w:val="22"/>
          <w:highlight w:val="yellow"/>
          <w:lang w:val="en-IE"/>
        </w:rPr>
        <w:t>1529</w:t>
      </w:r>
      <w:r w:rsidR="0038795F">
        <w:rPr>
          <w:rStyle w:val="FootnoteReference"/>
          <w:iCs/>
          <w:sz w:val="22"/>
          <w:szCs w:val="22"/>
          <w:highlight w:val="yellow"/>
          <w:lang w:val="en-IE"/>
        </w:rPr>
        <w:footnoteReference w:id="4"/>
      </w:r>
      <w:r w:rsidRPr="00C348D5">
        <w:rPr>
          <w:iCs/>
          <w:sz w:val="22"/>
          <w:szCs w:val="22"/>
          <w:highlight w:val="yellow"/>
          <w:lang w:val="en-IE"/>
        </w:rPr>
        <w:t>:</w:t>
      </w:r>
    </w:p>
    <w:p w14:paraId="04E947DD" w14:textId="0DF7877C"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B9793F">
        <w:rPr>
          <w:iCs/>
          <w:sz w:val="22"/>
          <w:szCs w:val="22"/>
          <w:highlight w:val="lightGray"/>
          <w:lang w:val="en-IE"/>
        </w:rPr>
        <w:t xml:space="preserve">The legal basis of this procedure is </w:t>
      </w:r>
      <w:r w:rsidRPr="001F6AB7">
        <w:rPr>
          <w:iCs/>
          <w:sz w:val="22"/>
          <w:szCs w:val="22"/>
          <w:highlight w:val="yellow"/>
          <w:lang w:val="en-IE"/>
        </w:rPr>
        <w:t>&lt;Regulation (EU) No [</w:t>
      </w:r>
      <w:r w:rsidR="00445514">
        <w:rPr>
          <w:iCs/>
          <w:sz w:val="22"/>
          <w:szCs w:val="22"/>
          <w:highlight w:val="yellow"/>
          <w:lang w:val="en-IE"/>
        </w:rPr>
        <w:t>1529</w:t>
      </w:r>
      <w:r w:rsidRPr="001F6AB7">
        <w:rPr>
          <w:iCs/>
          <w:sz w:val="22"/>
          <w:szCs w:val="22"/>
          <w:highlight w:val="yellow"/>
          <w:lang w:val="en-IE"/>
        </w:rPr>
        <w:t>] establishing the Instrument for Pre-accession Assistance (IPA III)&gt;.</w:t>
      </w:r>
      <w:r w:rsidRPr="006E1BD0">
        <w:rPr>
          <w:iCs/>
          <w:sz w:val="22"/>
          <w:szCs w:val="22"/>
          <w:highlight w:val="lightGray"/>
          <w:lang w:val="en-IE"/>
        </w:rPr>
        <w:t xml:space="preserve"> </w:t>
      </w:r>
      <w:r w:rsidRPr="006E1BD0">
        <w:rPr>
          <w:iCs/>
          <w:highlight w:val="lightGray"/>
          <w:lang w:val="en-IE"/>
        </w:rPr>
        <w:t>S</w:t>
      </w:r>
      <w:r w:rsidRPr="00F72244">
        <w:rPr>
          <w:rStyle w:val="normaltextrun"/>
          <w:sz w:val="22"/>
          <w:szCs w:val="22"/>
          <w:shd w:val="clear" w:color="auto" w:fill="C0C0C0"/>
          <w:lang w:val="en-GB"/>
        </w:rPr>
        <w:t xml:space="preserve">ee </w:t>
      </w:r>
      <w:r>
        <w:rPr>
          <w:rStyle w:val="normaltextrun"/>
          <w:sz w:val="22"/>
          <w:szCs w:val="22"/>
          <w:shd w:val="clear" w:color="auto" w:fill="C0C0C0"/>
          <w:lang w:val="en-GB"/>
        </w:rPr>
        <w:t>Annex A2 of the practical guide.</w:t>
      </w:r>
    </w:p>
    <w:p w14:paraId="0476A994" w14:textId="0127C5C9" w:rsidR="00B9793F" w:rsidRDefault="00B9793F" w:rsidP="00B9793F">
      <w:pPr>
        <w:pStyle w:val="paragraph"/>
        <w:spacing w:before="0" w:beforeAutospacing="0" w:after="0" w:afterAutospacing="0"/>
        <w:ind w:left="426"/>
        <w:jc w:val="both"/>
        <w:textAlignment w:val="baseline"/>
        <w:rPr>
          <w:iCs/>
          <w:sz w:val="22"/>
          <w:szCs w:val="22"/>
          <w:lang w:val="en-IE"/>
        </w:rPr>
      </w:pPr>
      <w:r w:rsidRPr="00B9793F">
        <w:rPr>
          <w:iCs/>
          <w:sz w:val="22"/>
          <w:szCs w:val="22"/>
          <w:highlight w:val="lightGray"/>
          <w:lang w:val="en-IE"/>
        </w:rPr>
        <w:lastRenderedPageBreak/>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445514">
        <w:rPr>
          <w:iCs/>
          <w:sz w:val="22"/>
          <w:szCs w:val="22"/>
          <w:highlight w:val="lightGray"/>
          <w:lang w:val="en-IE"/>
        </w:rPr>
        <w:t>1</w:t>
      </w:r>
      <w:r w:rsidRPr="00B9793F">
        <w:rPr>
          <w:iCs/>
          <w:sz w:val="22"/>
          <w:szCs w:val="22"/>
          <w:highlight w:val="lightGray"/>
          <w:lang w:val="en-IE"/>
        </w:rPr>
        <w:t xml:space="preserve"> of Regulation (EU) No </w:t>
      </w:r>
      <w:r w:rsidRPr="00C348D5">
        <w:rPr>
          <w:iCs/>
          <w:sz w:val="22"/>
          <w:szCs w:val="22"/>
          <w:highlight w:val="yellow"/>
          <w:lang w:val="en-IE"/>
        </w:rPr>
        <w:t>[</w:t>
      </w:r>
      <w:r w:rsidR="00445514">
        <w:rPr>
          <w:iCs/>
          <w:sz w:val="22"/>
          <w:szCs w:val="22"/>
          <w:highlight w:val="yellow"/>
          <w:lang w:val="en-IE"/>
        </w:rPr>
        <w:t>1529</w:t>
      </w:r>
      <w:r w:rsidRPr="00C348D5">
        <w:rPr>
          <w:iCs/>
          <w:sz w:val="22"/>
          <w:szCs w:val="22"/>
          <w:highlight w:val="yellow"/>
          <w:lang w:val="en-IE"/>
        </w:rPr>
        <w:t xml:space="preserve">]  </w:t>
      </w:r>
      <w:r w:rsidRPr="00B9793F">
        <w:rPr>
          <w:iCs/>
          <w:sz w:val="22"/>
          <w:szCs w:val="22"/>
          <w:highlight w:val="lightGray"/>
          <w:lang w:val="en-IE"/>
        </w:rPr>
        <w:t xml:space="preserve">establishing the Instrument for Pre-accession Assistance (IPA III). </w:t>
      </w:r>
      <w:r w:rsidR="00482E0D">
        <w:rPr>
          <w:iCs/>
          <w:sz w:val="22"/>
          <w:szCs w:val="22"/>
          <w:lang w:val="en-IE"/>
        </w:rPr>
        <w:t>]</w:t>
      </w:r>
    </w:p>
    <w:p w14:paraId="57544065" w14:textId="77777777" w:rsidR="00B9793F" w:rsidRDefault="00B9793F" w:rsidP="006E1BD0">
      <w:pPr>
        <w:pStyle w:val="paragraph"/>
        <w:spacing w:before="0" w:beforeAutospacing="0" w:after="0" w:afterAutospacing="0"/>
        <w:jc w:val="both"/>
        <w:textAlignment w:val="baseline"/>
        <w:rPr>
          <w:rFonts w:ascii="Segoe UI" w:hAnsi="Segoe UI" w:cs="Segoe UI"/>
          <w:sz w:val="22"/>
          <w:szCs w:val="22"/>
          <w:lang w:val="en-US"/>
        </w:rPr>
      </w:pP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3A93615" w14:textId="77777777"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r w:rsidRPr="00F72244">
        <w:rPr>
          <w:rStyle w:val="normaltextrun"/>
          <w:sz w:val="22"/>
          <w:szCs w:val="22"/>
          <w:shd w:val="clear" w:color="auto" w:fill="FFFF00"/>
          <w:lang w:val="en-GB"/>
        </w:rPr>
        <w:t>[For calls financed through appropriations implemented without a basic act, in accordance with Article 58 of Financial Regulation (EU, Euratom) 2018/1046 (i.e. budget lines without basic act</w:t>
      </w:r>
      <w:r w:rsidRPr="00F72244">
        <w:rPr>
          <w:rStyle w:val="FootnoteReference"/>
          <w:sz w:val="22"/>
          <w:szCs w:val="22"/>
          <w:shd w:val="clear" w:color="auto" w:fill="FFFF00"/>
          <w:lang w:val="en-GB"/>
        </w:rPr>
        <w:footnoteReference w:id="5"/>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 </w:t>
      </w:r>
    </w:p>
    <w:p w14:paraId="2D8C9AFF" w14:textId="63DF32CA" w:rsidR="00B9793F" w:rsidRPr="00F72244" w:rsidRDefault="00B9793F" w:rsidP="00B9793F">
      <w:pPr>
        <w:pStyle w:val="paragraph"/>
        <w:spacing w:before="0" w:beforeAutospacing="0" w:after="0" w:afterAutospacing="0"/>
        <w:ind w:left="426"/>
        <w:jc w:val="both"/>
        <w:textAlignment w:val="baseline"/>
        <w:rPr>
          <w:rStyle w:val="eop"/>
          <w:sz w:val="22"/>
          <w:szCs w:val="22"/>
          <w:lang w:val="en-US"/>
        </w:rPr>
      </w:pPr>
      <w:r w:rsidRPr="00B9793F">
        <w:rPr>
          <w:rStyle w:val="normaltextrun"/>
          <w:sz w:val="22"/>
          <w:szCs w:val="22"/>
          <w:highlight w:val="lightGray"/>
          <w:lang w:val="en-GB"/>
        </w:rPr>
        <w:t xml:space="preserve">The legal basis of this procedure is </w:t>
      </w:r>
      <w:r w:rsidRPr="00B9793F">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sidR="00482E0D">
        <w:rPr>
          <w:rStyle w:val="eop"/>
          <w:sz w:val="22"/>
          <w:szCs w:val="22"/>
          <w:lang w:val="en-US"/>
        </w:rPr>
        <w:t>.</w:t>
      </w:r>
    </w:p>
    <w:p w14:paraId="0622FA8A"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06F221B4"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1203B841"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33C0627E"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Participation is also open to international organisations.]]</w:t>
      </w:r>
    </w:p>
    <w:p w14:paraId="768F3D2F"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GB"/>
        </w:rPr>
      </w:pPr>
    </w:p>
    <w:p w14:paraId="702B23DD"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420BD5CA" w14:textId="77777777" w:rsidR="00B9793F" w:rsidRDefault="00B9793F" w:rsidP="00B9793F">
      <w:pPr>
        <w:pStyle w:val="paragraph"/>
        <w:spacing w:before="0" w:beforeAutospacing="0" w:after="0" w:afterAutospacing="0"/>
        <w:ind w:left="426" w:firstLine="420"/>
        <w:jc w:val="center"/>
        <w:textAlignment w:val="baseline"/>
        <w:rPr>
          <w:rStyle w:val="normaltextrun"/>
          <w:b/>
          <w:sz w:val="22"/>
          <w:szCs w:val="22"/>
          <w:lang w:val="en-IE"/>
        </w:rPr>
      </w:pPr>
      <w:r w:rsidRPr="00C348D5">
        <w:rPr>
          <w:rStyle w:val="normaltextrun"/>
          <w:b/>
          <w:sz w:val="22"/>
          <w:szCs w:val="22"/>
          <w:highlight w:val="yellow"/>
          <w:lang w:val="en-IE"/>
        </w:rPr>
        <w:t>[For commitments financed by a basic act under the MFF 2014-2020:</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601BFC73"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CB0B9BF" w14:textId="77777777" w:rsidR="00B9793F"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FFFF00"/>
          <w:lang w:val="en-GB"/>
        </w:rPr>
        <w:t>[</w:t>
      </w:r>
      <w:r w:rsidRPr="00F72244">
        <w:rPr>
          <w:rStyle w:val="normaltextrun"/>
          <w:caps/>
          <w:sz w:val="22"/>
          <w:szCs w:val="22"/>
          <w:shd w:val="clear" w:color="auto" w:fill="FFFF00"/>
          <w:lang w:val="en-GB"/>
        </w:rPr>
        <w:t>G</w:t>
      </w:r>
      <w:r w:rsidRPr="00F72244">
        <w:rPr>
          <w:rStyle w:val="normaltextrun"/>
          <w:sz w:val="22"/>
          <w:szCs w:val="22"/>
          <w:shd w:val="clear" w:color="auto" w:fill="FFFF00"/>
          <w:lang w:val="en-GB"/>
        </w:rPr>
        <w:t>eneral budget of the Union</w:t>
      </w:r>
      <w:r w:rsidRPr="006E1BD0">
        <w:rPr>
          <w:rStyle w:val="normaltextrun"/>
          <w:sz w:val="22"/>
          <w:szCs w:val="22"/>
          <w:shd w:val="clear" w:color="auto" w:fill="FFFF00"/>
          <w:lang w:val="en-IE"/>
        </w:rPr>
        <w:t> for calls where the CIR applies</w:t>
      </w:r>
      <w:r w:rsidRPr="00F72244">
        <w:rPr>
          <w:rStyle w:val="normaltextrun"/>
          <w:sz w:val="22"/>
          <w:szCs w:val="22"/>
          <w:shd w:val="clear" w:color="auto" w:fill="FFFF00"/>
          <w:lang w:val="en-GB"/>
        </w:rPr>
        <w:t>:</w:t>
      </w:r>
      <w:r w:rsidRPr="00F72244">
        <w:rPr>
          <w:rStyle w:val="eop"/>
          <w:sz w:val="22"/>
          <w:szCs w:val="22"/>
          <w:lang w:val="en-US"/>
        </w:rPr>
        <w:t> </w:t>
      </w:r>
    </w:p>
    <w:p w14:paraId="12D2926E" w14:textId="77777777"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B9793F">
        <w:rPr>
          <w:rStyle w:val="normaltextrun"/>
          <w:sz w:val="22"/>
          <w:szCs w:val="22"/>
          <w:highlight w:val="lightGray"/>
          <w:shd w:val="clear" w:color="auto" w:fill="FFFF00"/>
          <w:lang w:val="en-GB"/>
        </w:rPr>
        <w:t>The legal basis of this procedure is </w:t>
      </w:r>
      <w:r w:rsidRPr="00B9793F">
        <w:rPr>
          <w:rStyle w:val="normaltextrun"/>
          <w:sz w:val="22"/>
          <w:szCs w:val="22"/>
          <w:highlight w:val="lightGray"/>
          <w:shd w:val="clear" w:color="auto" w:fill="C0C0C0"/>
          <w:lang w:val="en-GB"/>
        </w:rPr>
        <w:t>Regulation</w:t>
      </w:r>
      <w:r w:rsidRPr="00B9793F">
        <w:rPr>
          <w:rStyle w:val="normaltextrun"/>
          <w:bCs/>
          <w:sz w:val="22"/>
          <w:szCs w:val="22"/>
          <w:highlight w:val="lightGray"/>
          <w:shd w:val="clear" w:color="auto" w:fill="C0C0C0"/>
          <w:lang w:val="en-GB"/>
        </w:rPr>
        <w:t> </w:t>
      </w:r>
      <w:r w:rsidRPr="00B9793F">
        <w:rPr>
          <w:rStyle w:val="normaltextrun"/>
          <w:sz w:val="22"/>
          <w:szCs w:val="22"/>
          <w:highlight w:val="lightGray"/>
          <w:shd w:val="clear" w:color="auto" w:fill="C0C0C0"/>
          <w:lang w:val="en-GB"/>
        </w:rPr>
        <w:t>(EU) No 236/2014 of the European Parliament and of the Council of 11 March 2014 laying down common rules and procedures for the implementation of the Union's instruments for financing external action and</w:t>
      </w:r>
      <w:r w:rsidRPr="00F72244">
        <w:rPr>
          <w:rStyle w:val="normaltextrun"/>
          <w:sz w:val="22"/>
          <w:szCs w:val="22"/>
          <w:shd w:val="clear" w:color="auto" w:fill="C0C0C0"/>
          <w:lang w:val="en-GB"/>
        </w:rPr>
        <w:t xml:space="preserve"> </w:t>
      </w:r>
      <w:r w:rsidRPr="00C348D5">
        <w:rPr>
          <w:rStyle w:val="normaltextrun"/>
          <w:sz w:val="22"/>
          <w:szCs w:val="22"/>
          <w:highlight w:val="yellow"/>
          <w:shd w:val="clear" w:color="auto" w:fill="C0C0C0"/>
          <w:lang w:val="en-GB"/>
        </w:rPr>
        <w:t>&lt;</w:t>
      </w:r>
      <w:r w:rsidRPr="00C348D5">
        <w:rPr>
          <w:rStyle w:val="normaltextrun"/>
          <w:sz w:val="22"/>
          <w:szCs w:val="22"/>
          <w:highlight w:val="yellow"/>
          <w:shd w:val="clear" w:color="auto" w:fill="FFFF00"/>
          <w:lang w:val="en-GB"/>
        </w:rPr>
        <w:t>please</w:t>
      </w:r>
      <w:r w:rsidRPr="00F72244">
        <w:rPr>
          <w:rStyle w:val="normaltextrun"/>
          <w:sz w:val="22"/>
          <w:szCs w:val="22"/>
          <w:shd w:val="clear" w:color="auto" w:fill="FFFF00"/>
          <w:lang w:val="en-GB"/>
        </w:rPr>
        <w:t xml:space="preserve"> introduce here the reference of the regulation or other instrument under which this contract is to be financed (e.g. DCI, ENPI, ENI, Ifs</w:t>
      </w:r>
      <w:r w:rsidRPr="00F72244">
        <w:rPr>
          <w:rStyle w:val="normaltextrun"/>
          <w:sz w:val="22"/>
          <w:szCs w:val="22"/>
          <w:highlight w:val="yellow"/>
          <w:shd w:val="clear" w:color="auto" w:fill="FFFF00"/>
          <w:lang w:val="en-GB"/>
        </w:rPr>
        <w:t>)</w:t>
      </w:r>
      <w:r>
        <w:rPr>
          <w:rStyle w:val="normaltextrun"/>
          <w:sz w:val="22"/>
          <w:szCs w:val="22"/>
          <w:highlight w:val="yellow"/>
          <w:shd w:val="clear" w:color="auto" w:fill="FFFF00"/>
          <w:lang w:val="en-GB"/>
        </w:rPr>
        <w:t>.</w:t>
      </w:r>
      <w:r>
        <w:rPr>
          <w:rStyle w:val="normaltextrun"/>
          <w:sz w:val="22"/>
          <w:szCs w:val="22"/>
          <w:highlight w:val="yellow"/>
          <w:lang w:val="en-GB"/>
        </w:rPr>
        <w:t> &gt;</w:t>
      </w:r>
      <w:r w:rsidRPr="00F72244">
        <w:rPr>
          <w:rStyle w:val="normaltextrun"/>
          <w:sz w:val="22"/>
          <w:szCs w:val="22"/>
          <w:lang w:val="en-GB"/>
        </w:rPr>
        <w:t>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14:paraId="334848B9" w14:textId="77777777" w:rsidR="00B9793F" w:rsidRPr="006E6CA8" w:rsidRDefault="00B9793F" w:rsidP="00B9793F">
      <w:pPr>
        <w:pStyle w:val="paragraph"/>
        <w:spacing w:before="0" w:beforeAutospacing="0" w:after="0" w:afterAutospacing="0"/>
        <w:ind w:left="426"/>
        <w:jc w:val="both"/>
        <w:textAlignment w:val="baseline"/>
        <w:rPr>
          <w:rStyle w:val="normaltextrun"/>
          <w:rFonts w:ascii="Segoe UI" w:hAnsi="Segoe UI" w:cs="Segoe UI"/>
          <w:sz w:val="22"/>
          <w:szCs w:val="22"/>
          <w:lang w:val="en-GB"/>
        </w:rPr>
      </w:pPr>
    </w:p>
    <w:p w14:paraId="771AB4F9"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569DB781" w14:textId="77777777" w:rsidR="00B9793F" w:rsidRPr="006E1BD0"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F72244">
        <w:rPr>
          <w:rStyle w:val="normaltextrun"/>
          <w:sz w:val="22"/>
          <w:szCs w:val="22"/>
          <w:shd w:val="clear" w:color="auto" w:fill="C0C0C0"/>
          <w:lang w:val="en-GB"/>
        </w:rPr>
        <w:t>Participation is open to all </w:t>
      </w:r>
      <w:r w:rsidRPr="006E1BD0">
        <w:rPr>
          <w:rStyle w:val="normaltextrun"/>
          <w:sz w:val="22"/>
          <w:szCs w:val="22"/>
          <w:shd w:val="clear" w:color="auto" w:fill="C0C0C0"/>
          <w:lang w:val="en-IE"/>
        </w:rPr>
        <w:t>natural persons who are nationals of and </w:t>
      </w:r>
      <w:r w:rsidRPr="00F72244">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Pr="006E1BD0">
        <w:rPr>
          <w:rStyle w:val="normaltextrun"/>
          <w:sz w:val="22"/>
          <w:szCs w:val="22"/>
          <w:shd w:val="clear" w:color="auto" w:fill="C0C0C0"/>
          <w:lang w:val="en-IE"/>
        </w:rPr>
        <w:t>Article 8 of Regulation </w:t>
      </w:r>
      <w:r w:rsidRPr="00F72244">
        <w:rPr>
          <w:rStyle w:val="normaltextrun"/>
          <w:sz w:val="22"/>
          <w:szCs w:val="22"/>
          <w:shd w:val="clear" w:color="auto" w:fill="C0C0C0"/>
          <w:lang w:val="en-GB"/>
        </w:rPr>
        <w:t>(EU) No 236/2014 </w:t>
      </w:r>
      <w:r w:rsidRPr="006E1BD0">
        <w:rPr>
          <w:rStyle w:val="normaltextrun"/>
          <w:sz w:val="22"/>
          <w:szCs w:val="22"/>
          <w:shd w:val="clear" w:color="auto" w:fill="C0C0C0"/>
          <w:lang w:val="en-IE"/>
        </w:rPr>
        <w:t>establishing common rules and procedures for the implementation of the Union's instruments for external action (CIR) </w:t>
      </w:r>
      <w:r w:rsidRPr="00F72244">
        <w:rPr>
          <w:rStyle w:val="normaltextrun"/>
          <w:sz w:val="22"/>
          <w:szCs w:val="22"/>
          <w:shd w:val="clear" w:color="auto" w:fill="C0C0C0"/>
          <w:lang w:val="en-GB"/>
        </w:rPr>
        <w:t>for the applicable instrument under which the contract is financed</w:t>
      </w:r>
      <w:r w:rsidRPr="006E1BD0">
        <w:rPr>
          <w:rStyle w:val="normaltextrun"/>
          <w:rFonts w:ascii="Arial" w:hAnsi="Arial" w:cs="Arial"/>
          <w:sz w:val="22"/>
          <w:szCs w:val="22"/>
          <w:shd w:val="clear" w:color="auto" w:fill="C0C0C0"/>
          <w:lang w:val="en-IE"/>
        </w:rPr>
        <w:t>. </w:t>
      </w:r>
    </w:p>
    <w:p w14:paraId="7B95C439" w14:textId="77777777" w:rsidR="00B9793F" w:rsidRPr="006E1BD0"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F72244">
        <w:rPr>
          <w:rStyle w:val="normaltextrun"/>
          <w:sz w:val="22"/>
          <w:szCs w:val="22"/>
          <w:shd w:val="clear" w:color="auto" w:fill="C0C0C0"/>
          <w:lang w:val="en-GB"/>
        </w:rPr>
        <w:t>Participation is also open to international organisations</w:t>
      </w:r>
      <w:r>
        <w:rPr>
          <w:rStyle w:val="normaltextrun"/>
          <w:sz w:val="22"/>
          <w:szCs w:val="22"/>
          <w:shd w:val="clear" w:color="auto" w:fill="C0C0C0"/>
          <w:lang w:val="en-GB"/>
        </w:rPr>
        <w:t>.</w:t>
      </w:r>
    </w:p>
    <w:p w14:paraId="3B95C248" w14:textId="628CD7F8" w:rsidR="00B9793F" w:rsidRPr="006E6CA8" w:rsidRDefault="00BD69EF" w:rsidP="00B9793F">
      <w:pPr>
        <w:ind w:left="426"/>
        <w:jc w:val="both"/>
        <w:rPr>
          <w:rFonts w:cs="Arial"/>
          <w:sz w:val="22"/>
          <w:szCs w:val="22"/>
          <w:lang w:val="en-GB"/>
        </w:rPr>
      </w:pPr>
      <w:r>
        <w:rPr>
          <w:rFonts w:cs="Arial"/>
          <w:sz w:val="22"/>
          <w:szCs w:val="22"/>
          <w:highlight w:val="lightGray"/>
          <w:lang w:val="en-GB"/>
        </w:rPr>
        <w:t xml:space="preserve">Participation </w:t>
      </w:r>
      <w:r w:rsidR="00B9793F" w:rsidRPr="00B9793F">
        <w:rPr>
          <w:rFonts w:cs="Arial"/>
          <w:sz w:val="22"/>
          <w:szCs w:val="22"/>
          <w:highlight w:val="lightGray"/>
          <w:lang w:val="en-GB"/>
        </w:rPr>
        <w:t>financed by the European Instrument for Democracy and Human Rights (EIDHR) and the Instrument contributing to Stability and Peace (IcSP)</w:t>
      </w:r>
      <w:r w:rsidR="00B9793F" w:rsidRPr="00B9793F">
        <w:rPr>
          <w:rStyle w:val="FootnoteReference"/>
          <w:sz w:val="22"/>
          <w:szCs w:val="22"/>
          <w:highlight w:val="lightGray"/>
          <w:lang w:val="en-GB"/>
        </w:rPr>
        <w:footnoteReference w:id="6"/>
      </w:r>
      <w:r w:rsidR="00B9793F" w:rsidRPr="00B9793F">
        <w:rPr>
          <w:rFonts w:cs="Arial"/>
          <w:sz w:val="22"/>
          <w:szCs w:val="22"/>
          <w:highlight w:val="lightGray"/>
          <w:lang w:val="en-GB"/>
        </w:rPr>
        <w:t xml:space="preserve"> is fully untied</w:t>
      </w:r>
      <w:r w:rsidR="00B9793F" w:rsidRPr="00B9793F">
        <w:rPr>
          <w:rStyle w:val="FootnoteReference"/>
          <w:sz w:val="22"/>
          <w:szCs w:val="22"/>
          <w:highlight w:val="lightGray"/>
        </w:rPr>
        <w:footnoteReference w:id="7"/>
      </w:r>
      <w:r w:rsidR="00B9793F" w:rsidRPr="00B9793F">
        <w:rPr>
          <w:rFonts w:cs="Arial"/>
          <w:sz w:val="22"/>
          <w:szCs w:val="22"/>
          <w:highlight w:val="lightGray"/>
          <w:lang w:val="en-GB"/>
        </w:rPr>
        <w:t>.</w:t>
      </w:r>
      <w:r w:rsidR="00B9793F" w:rsidRPr="006E6CA8">
        <w:rPr>
          <w:rFonts w:cs="Arial"/>
          <w:sz w:val="22"/>
          <w:szCs w:val="22"/>
          <w:lang w:val="en-GB"/>
        </w:rPr>
        <w:t xml:space="preserve"> </w:t>
      </w:r>
      <w:r w:rsidR="00482E0D">
        <w:rPr>
          <w:rFonts w:cs="Arial"/>
          <w:sz w:val="22"/>
          <w:szCs w:val="22"/>
          <w:lang w:val="en-GB"/>
        </w:rPr>
        <w:t>]</w:t>
      </w:r>
    </w:p>
    <w:p w14:paraId="7B4B1C7E" w14:textId="04AC4E9F" w:rsidR="00B9793F" w:rsidRDefault="00B9793F" w:rsidP="006E1BD0">
      <w:pPr>
        <w:pStyle w:val="paragraph"/>
        <w:spacing w:before="0" w:beforeAutospacing="0" w:after="0" w:afterAutospacing="0"/>
        <w:jc w:val="both"/>
        <w:textAlignment w:val="baseline"/>
        <w:rPr>
          <w:rStyle w:val="normaltextrun"/>
          <w:snapToGrid w:val="0"/>
          <w:sz w:val="22"/>
          <w:szCs w:val="22"/>
          <w:shd w:val="clear" w:color="auto" w:fill="C0C0C0"/>
          <w:lang w:val="en-GB" w:eastAsia="en-US"/>
        </w:rPr>
      </w:pPr>
    </w:p>
    <w:p w14:paraId="0B9113E6"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57B5176D"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59508544" w14:textId="77777777" w:rsidR="00B9793F" w:rsidRPr="006E1BD0" w:rsidRDefault="00B9793F" w:rsidP="00B9793F">
      <w:pPr>
        <w:pStyle w:val="paragraph"/>
        <w:spacing w:before="0" w:beforeAutospacing="0" w:after="0" w:afterAutospacing="0"/>
        <w:ind w:left="426" w:right="15"/>
        <w:jc w:val="both"/>
        <w:textAlignment w:val="baseline"/>
        <w:rPr>
          <w:rStyle w:val="normaltextrun"/>
          <w:sz w:val="22"/>
          <w:szCs w:val="22"/>
          <w:lang w:val="en-IE"/>
        </w:rPr>
      </w:pPr>
      <w:r w:rsidRPr="006E1BD0">
        <w:rPr>
          <w:rStyle w:val="normaltextrun"/>
          <w:sz w:val="22"/>
          <w:szCs w:val="22"/>
          <w:shd w:val="clear" w:color="auto" w:fill="FFFF00"/>
          <w:lang w:val="en-IE"/>
        </w:rPr>
        <w:lastRenderedPageBreak/>
        <w:t>[General budget of the Union for calls where the CIR does not apply (e.g. for IPA I)</w:t>
      </w:r>
      <w:r w:rsidRPr="006E1BD0">
        <w:rPr>
          <w:rStyle w:val="normaltextrun"/>
          <w:sz w:val="22"/>
          <w:szCs w:val="22"/>
          <w:lang w:val="en-IE"/>
        </w:rPr>
        <w:t>: </w:t>
      </w:r>
    </w:p>
    <w:p w14:paraId="01156549"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highlight w:val="lightGray"/>
          <w:shd w:val="clear" w:color="auto" w:fill="FFFF00"/>
          <w:lang w:val="en-IE"/>
        </w:rPr>
        <w:t>The legal basis of this procedure is</w:t>
      </w:r>
      <w:r w:rsidRPr="006E1BD0">
        <w:rPr>
          <w:rStyle w:val="normaltextrun"/>
          <w:sz w:val="22"/>
          <w:szCs w:val="22"/>
          <w:shd w:val="clear" w:color="auto" w:fill="FFFF00"/>
          <w:lang w:val="en-IE"/>
        </w:rPr>
        <w:t xml:space="preserve"> </w:t>
      </w:r>
      <w:r w:rsidRPr="00F72244">
        <w:rPr>
          <w:rStyle w:val="normaltextrun"/>
          <w:sz w:val="22"/>
          <w:szCs w:val="22"/>
          <w:shd w:val="clear" w:color="auto" w:fill="FFFF00"/>
          <w:lang w:val="en-GB"/>
        </w:rPr>
        <w:t xml:space="preserve">&lt; Regulation or other instrument under which this contract is to be </w:t>
      </w:r>
      <w:r w:rsidRPr="00F72244">
        <w:rPr>
          <w:rStyle w:val="normaltextrun"/>
          <w:sz w:val="22"/>
          <w:szCs w:val="22"/>
          <w:highlight w:val="yellow"/>
          <w:shd w:val="clear" w:color="auto" w:fill="FFFF00"/>
          <w:lang w:val="en-GB"/>
        </w:rPr>
        <w:t>financed</w:t>
      </w:r>
      <w:r>
        <w:rPr>
          <w:rStyle w:val="normaltextrun"/>
          <w:sz w:val="22"/>
          <w:szCs w:val="22"/>
          <w:highlight w:val="yellow"/>
          <w:shd w:val="clear" w:color="auto" w:fill="FFFF00"/>
          <w:lang w:val="en-GB"/>
        </w:rPr>
        <w:t>.</w:t>
      </w:r>
      <w:r w:rsidRPr="00F72244">
        <w:rPr>
          <w:rStyle w:val="normaltextrun"/>
          <w:sz w:val="22"/>
          <w:szCs w:val="22"/>
          <w:highlight w:val="yellow"/>
          <w:lang w:val="en-GB"/>
        </w:rPr>
        <w:t>&gt; </w:t>
      </w:r>
      <w:r w:rsidRPr="00B9793F">
        <w:rPr>
          <w:sz w:val="22"/>
          <w:szCs w:val="22"/>
          <w:highlight w:val="lightGray"/>
          <w:lang w:val="en-GB"/>
        </w:rPr>
        <w:t>See Annex A2 of the practical guide</w:t>
      </w:r>
      <w:r>
        <w:rPr>
          <w:rStyle w:val="normaltextrun"/>
          <w:sz w:val="22"/>
          <w:szCs w:val="22"/>
          <w:shd w:val="clear" w:color="auto" w:fill="C0C0C0"/>
          <w:lang w:val="en-GB"/>
        </w:rPr>
        <w:t>.</w:t>
      </w:r>
      <w:r w:rsidRPr="00F72244">
        <w:rPr>
          <w:rStyle w:val="eop"/>
          <w:sz w:val="22"/>
          <w:szCs w:val="22"/>
          <w:lang w:val="en-US"/>
        </w:rPr>
        <w:t> </w:t>
      </w:r>
    </w:p>
    <w:p w14:paraId="2CDB645B" w14:textId="77777777" w:rsidR="00B9793F" w:rsidRPr="006E1BD0" w:rsidRDefault="00B9793F" w:rsidP="00B9793F">
      <w:pPr>
        <w:pStyle w:val="paragraph"/>
        <w:spacing w:before="0" w:beforeAutospacing="0" w:after="0" w:afterAutospacing="0"/>
        <w:ind w:right="15"/>
        <w:jc w:val="both"/>
        <w:textAlignment w:val="baseline"/>
        <w:rPr>
          <w:rStyle w:val="normaltextrun"/>
          <w:sz w:val="22"/>
          <w:szCs w:val="22"/>
          <w:lang w:val="en-IE"/>
        </w:rPr>
      </w:pPr>
    </w:p>
    <w:p w14:paraId="77A5D1CB" w14:textId="6150D811" w:rsidR="00B9793F" w:rsidRPr="00F72244" w:rsidRDefault="00B9793F" w:rsidP="00B9793F">
      <w:pPr>
        <w:pStyle w:val="paragraph"/>
        <w:spacing w:before="0" w:beforeAutospacing="0" w:after="0" w:afterAutospacing="0"/>
        <w:ind w:left="426" w:right="15"/>
        <w:jc w:val="both"/>
        <w:textAlignment w:val="baseline"/>
        <w:rPr>
          <w:rStyle w:val="eop"/>
          <w:sz w:val="22"/>
          <w:szCs w:val="22"/>
          <w:lang w:val="en-US"/>
        </w:rPr>
      </w:pPr>
      <w:r w:rsidRPr="00F72244">
        <w:rPr>
          <w:rStyle w:val="normaltextrun"/>
          <w:sz w:val="22"/>
          <w:szCs w:val="22"/>
          <w:shd w:val="clear" w:color="auto" w:fill="C0C0C0"/>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Pr="00F72244">
        <w:rPr>
          <w:rStyle w:val="normaltextrun"/>
          <w:sz w:val="22"/>
          <w:szCs w:val="22"/>
          <w:lang w:val="en-GB"/>
        </w:rPr>
        <w:t>.</w:t>
      </w:r>
      <w:r w:rsidR="00482E0D">
        <w:rPr>
          <w:rStyle w:val="eop"/>
          <w:sz w:val="22"/>
          <w:szCs w:val="22"/>
          <w:lang w:val="en-US"/>
        </w:rPr>
        <w:t>]</w:t>
      </w:r>
    </w:p>
    <w:p w14:paraId="2F6E632D" w14:textId="77777777" w:rsidR="00B9793F" w:rsidRPr="00C348D5" w:rsidRDefault="00B9793F" w:rsidP="00B9793F">
      <w:pPr>
        <w:pStyle w:val="paragraph"/>
        <w:spacing w:before="0" w:beforeAutospacing="0" w:after="0" w:afterAutospacing="0"/>
        <w:ind w:left="426" w:right="15"/>
        <w:jc w:val="both"/>
        <w:textAlignment w:val="baseline"/>
        <w:rPr>
          <w:rFonts w:ascii="Segoe UI" w:hAnsi="Segoe UI" w:cs="Segoe UI"/>
          <w:sz w:val="22"/>
          <w:szCs w:val="22"/>
          <w:lang w:val="en-US"/>
        </w:rPr>
      </w:pPr>
    </w:p>
    <w:p w14:paraId="38DF9256"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14:paraId="73FDB0AD" w14:textId="77777777" w:rsidR="00B9793F" w:rsidRDefault="00B9793F" w:rsidP="00B9793F">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[10</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EDF/11</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w:t>
      </w:r>
      <w:r w:rsidRPr="00F72244">
        <w:rPr>
          <w:rStyle w:val="normaltextrun"/>
          <w:sz w:val="22"/>
          <w:szCs w:val="22"/>
          <w:lang w:val="en-GB"/>
        </w:rPr>
        <w:t> </w:t>
      </w:r>
      <w:r w:rsidRPr="00F72244">
        <w:rPr>
          <w:rStyle w:val="eop"/>
          <w:sz w:val="22"/>
          <w:szCs w:val="22"/>
          <w:lang w:val="en-US"/>
        </w:rPr>
        <w:t> </w:t>
      </w:r>
    </w:p>
    <w:p w14:paraId="666FC8F8" w14:textId="77777777" w:rsidR="00B9793F" w:rsidRPr="00F72244" w:rsidRDefault="00B9793F" w:rsidP="00B9793F">
      <w:pPr>
        <w:pStyle w:val="paragraph"/>
        <w:spacing w:before="0" w:beforeAutospacing="0" w:after="0" w:afterAutospacing="0"/>
        <w:ind w:left="426"/>
        <w:jc w:val="both"/>
        <w:textAlignment w:val="baseline"/>
        <w:rPr>
          <w:rStyle w:val="eop"/>
          <w:sz w:val="22"/>
          <w:szCs w:val="22"/>
          <w:lang w:val="en-US"/>
        </w:rPr>
      </w:pPr>
      <w:r w:rsidRPr="00B9793F">
        <w:rPr>
          <w:rStyle w:val="normaltextrun"/>
          <w:sz w:val="22"/>
          <w:szCs w:val="22"/>
          <w:highlight w:val="lightGray"/>
          <w:shd w:val="clear" w:color="auto" w:fill="C0C0C0"/>
          <w:lang w:val="en-GB"/>
        </w:rPr>
        <w:t>The legal basis of this procedure is</w:t>
      </w:r>
      <w:r w:rsidRPr="00B9793F">
        <w:rPr>
          <w:rStyle w:val="eop"/>
          <w:sz w:val="22"/>
          <w:szCs w:val="22"/>
          <w:highlight w:val="lightGray"/>
          <w:lang w:val="en-US"/>
        </w:rPr>
        <w:t xml:space="preserve">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697DB02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15DABA42" w14:textId="6BF42876" w:rsidR="00B9793F" w:rsidRPr="00B9793F" w:rsidRDefault="00B9793F" w:rsidP="00B9793F">
      <w:pPr>
        <w:pStyle w:val="paragraph"/>
        <w:spacing w:before="0" w:beforeAutospacing="0" w:after="0" w:afterAutospacing="0"/>
        <w:ind w:left="426"/>
        <w:jc w:val="both"/>
        <w:textAlignment w:val="baseline"/>
        <w:rPr>
          <w:sz w:val="22"/>
          <w:szCs w:val="22"/>
          <w:highlight w:val="lightGray"/>
          <w:shd w:val="clear" w:color="auto" w:fill="C0C0C0"/>
          <w:lang w:val="en-GB"/>
        </w:rPr>
      </w:pPr>
      <w:r w:rsidRPr="00B9793F">
        <w:rPr>
          <w:rStyle w:val="normaltextrun"/>
          <w:sz w:val="22"/>
          <w:szCs w:val="22"/>
          <w:highlight w:val="lightGray"/>
          <w:shd w:val="clear" w:color="auto" w:fill="C0C0C0"/>
          <w:lang w:val="en-GB"/>
        </w:rPr>
        <w:t>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authorised by the ACP-EC Partnership Agreement under which the contract is financed. </w:t>
      </w:r>
      <w:r w:rsidRPr="00B9793F">
        <w:rPr>
          <w:rStyle w:val="normaltextrun"/>
          <w:sz w:val="22"/>
          <w:szCs w:val="22"/>
          <w:highlight w:val="lightGray"/>
          <w:shd w:val="clear" w:color="auto" w:fill="C0C0C0"/>
          <w:lang w:val="en-GB"/>
        </w:rPr>
        <w:br/>
      </w:r>
      <w:r w:rsidRPr="00B9793F">
        <w:rPr>
          <w:rStyle w:val="normaltextrun"/>
          <w:sz w:val="22"/>
          <w:szCs w:val="22"/>
          <w:highlight w:val="lightGray"/>
          <w:shd w:val="clear" w:color="auto" w:fill="C0C0C0"/>
          <w:lang w:val="en-GB"/>
        </w:rPr>
        <w:br/>
        <w:t>Participation is also open to international organisations.</w:t>
      </w:r>
      <w:r w:rsidRPr="00F72244">
        <w:rPr>
          <w:rStyle w:val="normaltextrun"/>
          <w:sz w:val="22"/>
          <w:szCs w:val="22"/>
          <w:shd w:val="clear" w:color="auto" w:fill="C0C0C0"/>
          <w:lang w:val="en-GB"/>
        </w:rPr>
        <w:t> </w:t>
      </w:r>
      <w:r w:rsidRPr="00F72244">
        <w:rPr>
          <w:rStyle w:val="eop"/>
          <w:sz w:val="22"/>
          <w:szCs w:val="22"/>
          <w:lang w:val="en-US"/>
        </w:rPr>
        <w:t> </w:t>
      </w:r>
      <w:r w:rsidR="00482E0D">
        <w:rPr>
          <w:rStyle w:val="eop"/>
          <w:sz w:val="22"/>
          <w:szCs w:val="22"/>
          <w:lang w:val="en-US"/>
        </w:rPr>
        <w:t>]</w:t>
      </w:r>
    </w:p>
    <w:p w14:paraId="03282868" w14:textId="77777777" w:rsidR="00B9793F" w:rsidRDefault="00B9793F" w:rsidP="00B9793F">
      <w:pPr>
        <w:pStyle w:val="paragraph"/>
        <w:spacing w:before="0" w:beforeAutospacing="0" w:after="0" w:afterAutospacing="0"/>
        <w:ind w:left="426" w:right="270"/>
        <w:jc w:val="both"/>
        <w:textAlignment w:val="baseline"/>
        <w:rPr>
          <w:rStyle w:val="normaltextrun"/>
          <w:sz w:val="22"/>
          <w:szCs w:val="22"/>
          <w:shd w:val="clear" w:color="auto" w:fill="FFFF00"/>
          <w:lang w:val="en-GB"/>
        </w:rPr>
      </w:pPr>
    </w:p>
    <w:p w14:paraId="36A2DAA0" w14:textId="77777777" w:rsidR="00B9793F" w:rsidRPr="00C348D5" w:rsidRDefault="00B9793F" w:rsidP="00B9793F">
      <w:pPr>
        <w:pStyle w:val="paragraph"/>
        <w:spacing w:before="0" w:beforeAutospacing="0" w:after="0" w:afterAutospacing="0"/>
        <w:ind w:left="426" w:right="270"/>
        <w:jc w:val="both"/>
        <w:textAlignment w:val="baseline"/>
        <w:rPr>
          <w:rFonts w:ascii="Segoe UI" w:hAnsi="Segoe UI" w:cs="Segoe UI"/>
          <w:sz w:val="22"/>
          <w:szCs w:val="22"/>
          <w:lang w:val="en-US"/>
        </w:rPr>
      </w:pPr>
    </w:p>
    <w:p w14:paraId="20A9F27D"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p>
    <w:p w14:paraId="32C85F08" w14:textId="77777777" w:rsidR="00B9793F" w:rsidRDefault="00B9793F" w:rsidP="00B9793F">
      <w:pPr>
        <w:pStyle w:val="paragraph"/>
        <w:spacing w:before="0" w:beforeAutospacing="0" w:after="0" w:afterAutospacing="0"/>
        <w:ind w:left="426"/>
        <w:jc w:val="both"/>
        <w:textAlignment w:val="baseline"/>
        <w:rPr>
          <w:rStyle w:val="normaltextrun"/>
          <w:sz w:val="22"/>
          <w:szCs w:val="22"/>
          <w:lang w:val="en-GB"/>
        </w:rPr>
      </w:pPr>
      <w:r w:rsidRPr="00F72244">
        <w:rPr>
          <w:rStyle w:val="normaltextrun"/>
          <w:sz w:val="22"/>
          <w:szCs w:val="22"/>
          <w:shd w:val="clear" w:color="auto" w:fill="FFFF00"/>
          <w:lang w:val="en-GB"/>
        </w:rPr>
        <w:t>[For calls financed through appropriations implemented without a basic act, in accordance with Article</w:t>
      </w:r>
      <w:r>
        <w:rPr>
          <w:rStyle w:val="normaltextrun"/>
          <w:sz w:val="22"/>
          <w:szCs w:val="22"/>
          <w:shd w:val="clear" w:color="auto" w:fill="FFFF00"/>
          <w:lang w:val="en-GB"/>
        </w:rPr>
        <w:t xml:space="preserve"> </w:t>
      </w:r>
      <w:r w:rsidRPr="00F72244">
        <w:rPr>
          <w:rStyle w:val="normaltextrun"/>
          <w:sz w:val="22"/>
          <w:szCs w:val="22"/>
          <w:shd w:val="clear" w:color="auto" w:fill="FFFF00"/>
          <w:lang w:val="en-GB"/>
        </w:rPr>
        <w:t>58 of Financial Regulation (EU, Euratom) 2018/1046 (i.e. budget lines without basic act</w:t>
      </w:r>
      <w:r w:rsidRPr="00F72244">
        <w:rPr>
          <w:rStyle w:val="FootnoteReference"/>
          <w:sz w:val="22"/>
          <w:szCs w:val="22"/>
          <w:shd w:val="clear" w:color="auto" w:fill="FFFF00"/>
          <w:lang w:val="en-GB"/>
        </w:rPr>
        <w:footnoteReference w:id="8"/>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w:t>
      </w:r>
      <w:r>
        <w:rPr>
          <w:rStyle w:val="normaltextrun"/>
          <w:sz w:val="22"/>
          <w:szCs w:val="22"/>
          <w:lang w:val="en-GB"/>
        </w:rPr>
        <w:t>:</w:t>
      </w:r>
    </w:p>
    <w:p w14:paraId="4BF28388"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B9793F">
        <w:rPr>
          <w:rStyle w:val="normaltextrun"/>
          <w:sz w:val="22"/>
          <w:szCs w:val="22"/>
          <w:highlight w:val="lightGray"/>
          <w:lang w:val="en-GB"/>
        </w:rPr>
        <w:t xml:space="preserve">The legal basis of this procedure is </w:t>
      </w:r>
      <w:r w:rsidRPr="00B9793F">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Pr>
          <w:rStyle w:val="normaltextrun"/>
          <w:sz w:val="22"/>
          <w:szCs w:val="22"/>
          <w:shd w:val="clear" w:color="auto" w:fill="C0C0C0"/>
          <w:lang w:val="en-GB"/>
        </w:rPr>
        <w:t>.</w:t>
      </w:r>
      <w:r w:rsidRPr="00F72244">
        <w:rPr>
          <w:rStyle w:val="eop"/>
          <w:rFonts w:ascii="Calibri" w:hAnsi="Calibri" w:cs="Calibri"/>
          <w:sz w:val="22"/>
          <w:szCs w:val="22"/>
          <w:lang w:val="en-US"/>
        </w:rPr>
        <w:t> </w:t>
      </w:r>
    </w:p>
    <w:p w14:paraId="31ACD924"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4F1300A9"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270D31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B9793F">
        <w:rPr>
          <w:rStyle w:val="normaltextrun"/>
          <w:sz w:val="22"/>
          <w:szCs w:val="22"/>
          <w:highlight w:val="lightGray"/>
          <w:shd w:val="clear" w:color="auto" w:fill="C0C0C0"/>
          <w:lang w:val="en-GB"/>
        </w:rPr>
        <w:t>Participation is also open to international organisations.]</w:t>
      </w:r>
    </w:p>
    <w:p w14:paraId="4028617C"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r w:rsidRPr="00F72244">
        <w:rPr>
          <w:rStyle w:val="eop"/>
          <w:sz w:val="22"/>
          <w:szCs w:val="22"/>
          <w:lang w:val="en-US"/>
        </w:rPr>
        <w:t> </w:t>
      </w:r>
      <w:r>
        <w:rPr>
          <w:rStyle w:val="eop"/>
          <w:sz w:val="22"/>
          <w:szCs w:val="22"/>
          <w:lang w:val="en-US"/>
        </w:rPr>
        <w:br/>
      </w:r>
    </w:p>
    <w:p w14:paraId="6830B314" w14:textId="77777777" w:rsidR="00B9793F" w:rsidRPr="00F72244" w:rsidRDefault="00B9793F" w:rsidP="00B9793F">
      <w:pPr>
        <w:pStyle w:val="paragraph"/>
        <w:spacing w:before="0" w:beforeAutospacing="0" w:after="0" w:afterAutospacing="0"/>
        <w:ind w:left="426"/>
        <w:jc w:val="both"/>
        <w:textAlignment w:val="baseline"/>
        <w:rPr>
          <w:sz w:val="22"/>
          <w:szCs w:val="22"/>
          <w:lang w:val="en-US"/>
        </w:rPr>
      </w:pPr>
      <w:r w:rsidRPr="00F72244">
        <w:rPr>
          <w:rStyle w:val="normaltextrun"/>
          <w:sz w:val="22"/>
          <w:szCs w:val="22"/>
          <w:shd w:val="clear" w:color="auto" w:fill="FFFF00"/>
          <w:lang w:val="en-GB"/>
        </w:rPr>
        <w:t>[Other basic acts which may apply different eligibility rules: &lt;…………………&gt;]</w:t>
      </w:r>
      <w:r w:rsidRPr="00F72244">
        <w:rPr>
          <w:rStyle w:val="eop"/>
          <w:sz w:val="22"/>
          <w:szCs w:val="22"/>
          <w:lang w:val="en-US"/>
        </w:rPr>
        <w:t> </w:t>
      </w:r>
    </w:p>
    <w:p w14:paraId="2F52E8B9" w14:textId="77777777" w:rsidR="00B9793F" w:rsidRPr="00CC4086" w:rsidRDefault="00B9793F" w:rsidP="00B9793F">
      <w:pPr>
        <w:pStyle w:val="paragraph"/>
        <w:spacing w:before="0" w:after="0"/>
        <w:jc w:val="both"/>
        <w:textAlignment w:val="baseline"/>
        <w:rPr>
          <w:rStyle w:val="eop"/>
          <w:b/>
          <w:sz w:val="22"/>
          <w:szCs w:val="22"/>
          <w:lang w:val="en-US"/>
        </w:rPr>
      </w:pPr>
    </w:p>
    <w:p w14:paraId="1AB6CE9C"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7221027F" w14:textId="77777777" w:rsidR="00B9793F" w:rsidRPr="00CC4086" w:rsidRDefault="00B9793F" w:rsidP="00B9793F">
      <w:pPr>
        <w:pStyle w:val="paragraph"/>
        <w:spacing w:before="0" w:beforeAutospacing="0" w:after="0" w:afterAutospacing="0"/>
        <w:ind w:left="426"/>
        <w:jc w:val="both"/>
        <w:textAlignment w:val="baseline"/>
        <w:rPr>
          <w:rFonts w:ascii="Segoe UI" w:hAnsi="Segoe UI" w:cs="Segoe UI"/>
          <w:b/>
          <w:sz w:val="22"/>
          <w:szCs w:val="22"/>
          <w:lang w:val="en-US"/>
        </w:rPr>
      </w:pPr>
      <w:r w:rsidRPr="006E1BD0">
        <w:rPr>
          <w:rStyle w:val="normaltextrun"/>
          <w:rFonts w:ascii="Calibri" w:hAnsi="Calibri" w:cs="Calibri"/>
          <w:b/>
          <w:sz w:val="22"/>
          <w:szCs w:val="22"/>
          <w:shd w:val="clear" w:color="auto" w:fill="FFFF00"/>
          <w:lang w:val="en-IE"/>
        </w:rPr>
        <w:t>[</w:t>
      </w:r>
      <w:r w:rsidRPr="00CC4086">
        <w:rPr>
          <w:rStyle w:val="normaltextrun"/>
          <w:b/>
          <w:sz w:val="22"/>
          <w:szCs w:val="22"/>
          <w:shd w:val="clear" w:color="auto" w:fill="FFFF00"/>
          <w:lang w:val="en-IE"/>
        </w:rPr>
        <w:t>For commitments financed by a basic act under the 2014-2020 or previous MFFs, 11</w:t>
      </w:r>
      <w:r w:rsidRPr="00CC4086">
        <w:rPr>
          <w:rStyle w:val="normaltextrun"/>
          <w:b/>
          <w:sz w:val="22"/>
          <w:szCs w:val="22"/>
          <w:shd w:val="clear" w:color="auto" w:fill="FFFF00"/>
          <w:vertAlign w:val="superscript"/>
          <w:lang w:val="en-IE"/>
        </w:rPr>
        <w:t>th</w:t>
      </w:r>
      <w:r w:rsidRPr="00CC4086">
        <w:rPr>
          <w:rStyle w:val="normaltextrun"/>
          <w:b/>
          <w:sz w:val="22"/>
          <w:szCs w:val="22"/>
          <w:shd w:val="clear" w:color="auto" w:fill="FFFF00"/>
          <w:lang w:val="en-IE"/>
        </w:rPr>
        <w:t> or previous EDF</w:t>
      </w:r>
      <w:r w:rsidRPr="00CC4086">
        <w:rPr>
          <w:rStyle w:val="normaltextrun"/>
          <w:rFonts w:ascii="Calibri" w:hAnsi="Calibri" w:cs="Calibri"/>
          <w:b/>
          <w:bCs/>
          <w:sz w:val="22"/>
          <w:szCs w:val="22"/>
          <w:shd w:val="clear" w:color="auto" w:fill="FFFF00"/>
          <w:lang w:val="en-IE"/>
        </w:rPr>
        <w:t>:</w:t>
      </w:r>
      <w:r w:rsidRPr="00CC4086">
        <w:rPr>
          <w:rStyle w:val="eop"/>
          <w:rFonts w:ascii="Calibri" w:hAnsi="Calibri" w:cs="Calibri"/>
          <w:b/>
          <w:sz w:val="22"/>
          <w:szCs w:val="22"/>
          <w:lang w:val="en-US"/>
        </w:rPr>
        <w:t> </w:t>
      </w:r>
    </w:p>
    <w:p w14:paraId="7769BB71"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shd w:val="clear" w:color="auto" w:fill="C0C0C0"/>
          <w:lang w:val="en-IE"/>
        </w:rPr>
        <w:t xml:space="preserve">For UK candidates or tenderers: Please be aware that following the entry into force of the EU-UK Withdrawal Agreement* on 1 February 2020 and in particular Articles 127(6), 137 and 138, the </w:t>
      </w:r>
      <w:r w:rsidRPr="006E1BD0">
        <w:rPr>
          <w:rStyle w:val="normaltextrun"/>
          <w:sz w:val="22"/>
          <w:szCs w:val="22"/>
          <w:shd w:val="clear" w:color="auto" w:fill="C0C0C0"/>
          <w:lang w:val="en-IE"/>
        </w:rPr>
        <w:lastRenderedPageBreak/>
        <w:t>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sidRPr="00F72244">
        <w:rPr>
          <w:rStyle w:val="eop"/>
          <w:sz w:val="22"/>
          <w:szCs w:val="22"/>
          <w:lang w:val="en-US"/>
        </w:rPr>
        <w:t> </w:t>
      </w:r>
    </w:p>
    <w:p w14:paraId="2E48E14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14:paraId="3CF6303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shd w:val="clear" w:color="auto" w:fill="C0C0C0"/>
          <w:lang w:val="en-IE"/>
        </w:rPr>
        <w:t>* Agreement on the withdrawal of the United Kingdom of Great Britain and Northern Ireland from the European Union and the European Atomic Energy Community.</w:t>
      </w:r>
      <w:r w:rsidRPr="00F72244">
        <w:rPr>
          <w:rStyle w:val="eop"/>
          <w:sz w:val="22"/>
          <w:szCs w:val="22"/>
          <w:lang w:val="en-US"/>
        </w:rPr>
        <w:t> </w:t>
      </w:r>
    </w:p>
    <w:p w14:paraId="4BA3766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shd w:val="clear" w:color="auto" w:fill="C0C0C0"/>
          <w:lang w:val="en-IE"/>
        </w:rPr>
        <w:t>** Regulation (EU) No 236/2014 of the European Parliament and of the Council of 11 March 2014 laying down common rules and procedures for the implementation of the Union's instruments for financing external action.</w:t>
      </w:r>
      <w:r w:rsidRPr="00F72244">
        <w:rPr>
          <w:rStyle w:val="eop"/>
          <w:sz w:val="22"/>
          <w:szCs w:val="22"/>
          <w:lang w:val="en-US"/>
        </w:rPr>
        <w:t> </w:t>
      </w:r>
    </w:p>
    <w:p w14:paraId="59024CDF"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shd w:val="clear" w:color="auto" w:fill="C0C0C0"/>
          <w:lang w:val="en-IE"/>
        </w:rPr>
        <w:t>*** Annex IV to the ACP-EU Partnership Agreement, as revised by Decision 1/2014 of the ACP-EU Council of Ministers (OJ L196/40, 3.7.2014).</w:t>
      </w:r>
      <w:r w:rsidRPr="00F72244">
        <w:rPr>
          <w:rStyle w:val="eop"/>
          <w:sz w:val="22"/>
          <w:szCs w:val="22"/>
          <w:lang w:val="en-US"/>
        </w:rPr>
        <w:t> </w:t>
      </w:r>
    </w:p>
    <w:p w14:paraId="484BDFBA"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6E1BD0">
        <w:rPr>
          <w:rStyle w:val="normaltextrun"/>
          <w:sz w:val="22"/>
          <w:szCs w:val="22"/>
          <w:shd w:val="clear" w:color="auto" w:fill="C0C0C0"/>
          <w:lang w:val="en-IE"/>
        </w:rPr>
        <w:t>**** Including the Overseas Countries and Territories having special relations with the United Kingdom, as laid down in Part Four and Annex II of the TFEU.</w:t>
      </w:r>
      <w:r w:rsidRPr="00B9793F">
        <w:rPr>
          <w:rStyle w:val="normaltextrun"/>
          <w:rFonts w:ascii="Calibri" w:hAnsi="Calibri" w:cs="Calibri"/>
          <w:b/>
          <w:sz w:val="22"/>
          <w:szCs w:val="22"/>
          <w:highlight w:val="lightGray"/>
          <w:lang w:val="en-GB"/>
        </w:rPr>
        <w:t>]</w:t>
      </w:r>
      <w:r w:rsidRPr="00CC4086">
        <w:rPr>
          <w:rStyle w:val="eop"/>
          <w:rFonts w:ascii="Calibri" w:hAnsi="Calibri" w:cs="Calibri"/>
          <w:b/>
          <w:sz w:val="22"/>
          <w:szCs w:val="22"/>
          <w:lang w:val="en-US"/>
        </w:rPr>
        <w:t> </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77777777" w:rsidR="004E1482" w:rsidRPr="00B33EE6"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sidRPr="00B33EE6">
        <w:rPr>
          <w:sz w:val="22"/>
          <w:szCs w:val="22"/>
          <w:highlight w:val="lightGray"/>
          <w:lang w:val="en-GB"/>
        </w:rPr>
        <w:t>N</w:t>
      </w:r>
      <w:r w:rsidRPr="00B33EE6">
        <w:rPr>
          <w:sz w:val="22"/>
          <w:szCs w:val="22"/>
          <w:highlight w:val="lightGray"/>
          <w:lang w:val="en-GB"/>
        </w:rPr>
        <w:t>o restrictions may be made in the number of lots a tenderer can be awarded.</w:t>
      </w:r>
    </w:p>
    <w:p w14:paraId="519FD253" w14:textId="77777777" w:rsidR="00E1782A" w:rsidRPr="00B33EE6" w:rsidRDefault="004E1482" w:rsidP="007727F3">
      <w:pPr>
        <w:pStyle w:val="Blockquote"/>
        <w:jc w:val="both"/>
        <w:rPr>
          <w:i/>
          <w:sz w:val="22"/>
          <w:szCs w:val="22"/>
          <w:lang w:val="en-GB"/>
        </w:rPr>
      </w:pPr>
      <w:r w:rsidRPr="00B33EE6">
        <w:rPr>
          <w:sz w:val="22"/>
          <w:szCs w:val="22"/>
          <w:highlight w:val="lightGray"/>
          <w:lang w:val="en-GB"/>
        </w:rPr>
        <w:t xml:space="preserve">The </w:t>
      </w:r>
      <w:r w:rsidR="00632BDC" w:rsidRPr="00B33EE6">
        <w:rPr>
          <w:sz w:val="22"/>
          <w:szCs w:val="22"/>
          <w:highlight w:val="lightGray"/>
          <w:lang w:val="en-GB"/>
        </w:rPr>
        <w:t>tenderer</w:t>
      </w:r>
      <w:r w:rsidRPr="00B33EE6">
        <w:rPr>
          <w:sz w:val="22"/>
          <w:szCs w:val="22"/>
          <w:highlight w:val="lightGray"/>
          <w:lang w:val="en-GB"/>
        </w:rPr>
        <w:t xml:space="preserve"> may submit a </w:t>
      </w:r>
      <w:r w:rsidR="00632BDC" w:rsidRPr="00B33EE6">
        <w:rPr>
          <w:sz w:val="22"/>
          <w:szCs w:val="22"/>
          <w:highlight w:val="lightGray"/>
          <w:lang w:val="en-GB"/>
        </w:rPr>
        <w:t>tender</w:t>
      </w:r>
      <w:r w:rsidRPr="00B33EE6">
        <w:rPr>
          <w:sz w:val="22"/>
          <w:szCs w:val="22"/>
          <w:highlight w:val="lightGray"/>
          <w:lang w:val="en-GB"/>
        </w:rPr>
        <w:t xml:space="preserve"> for one lot only, several lots or all of the lots, but only one </w:t>
      </w:r>
      <w:r w:rsidR="00632BDC" w:rsidRPr="00B33EE6">
        <w:rPr>
          <w:sz w:val="22"/>
          <w:szCs w:val="22"/>
          <w:highlight w:val="lightGray"/>
          <w:lang w:val="en-GB"/>
        </w:rPr>
        <w:t>tender</w:t>
      </w:r>
      <w:r w:rsidRPr="00B33EE6">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C14D56">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7777777"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Date </w:t>
      </w:r>
      <w:r w:rsidRPr="00B33EE6">
        <w:rPr>
          <w:rStyle w:val="Emphasis"/>
          <w:i w:val="0"/>
          <w:sz w:val="22"/>
          <w:szCs w:val="22"/>
          <w:lang w:val="en-GB"/>
        </w:rPr>
        <w:t>&gt;</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7777777"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To be specified </w:t>
      </w:r>
      <w:r w:rsidRPr="00B33EE6">
        <w:rPr>
          <w:rStyle w:val="Emphasis"/>
          <w:i w:val="0"/>
          <w:sz w:val="22"/>
          <w:szCs w:val="22"/>
          <w:lang w:val="en-GB"/>
        </w:rPr>
        <w:t>&gt;</w:t>
      </w:r>
    </w:p>
    <w:p w14:paraId="29CC7DD8" w14:textId="77777777" w:rsidR="006F5FD0" w:rsidRPr="00B33EE6" w:rsidRDefault="00C14D56">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lastRenderedPageBreak/>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7A33A8BE" w14:textId="77777777"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in order to ensure an adequate level of competition, the contracting authority may indicate that evidence of relevant services performed more than 3 years before will be taken into account. </w:t>
      </w:r>
      <w:r w:rsidRPr="00B33EE6">
        <w:rPr>
          <w:sz w:val="22"/>
          <w:szCs w:val="22"/>
          <w:highlight w:val="yellow"/>
          <w:lang w:val="en-GB"/>
        </w:rPr>
        <w:t xml:space="preserve">Consideration has to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Therefore particular attention should be paid when setting specific selection criteria for assessing the technical and professional capacity of natural persons. As a general rule, selection criteria cannot be re-used as award criteria.</w:t>
      </w:r>
      <w:r w:rsidR="00A46ED3" w:rsidRPr="00B33EE6">
        <w:rPr>
          <w:bCs/>
          <w:sz w:val="22"/>
          <w:szCs w:val="22"/>
          <w:highlight w:val="yellow"/>
          <w:lang w:val="en-GB"/>
        </w:rPr>
        <w:t xml:space="preserve"> </w:t>
      </w:r>
      <w:r w:rsidRPr="00B33EE6">
        <w:rPr>
          <w:sz w:val="22"/>
          <w:szCs w:val="22"/>
          <w:highlight w:val="yellow"/>
          <w:lang w:val="en-GB"/>
        </w:rPr>
        <w:t xml:space="preserve">See </w:t>
      </w:r>
      <w:r w:rsidR="00FE4E4B">
        <w:rPr>
          <w:sz w:val="22"/>
          <w:szCs w:val="22"/>
          <w:highlight w:val="yellow"/>
          <w:lang w:val="en-GB"/>
        </w:rPr>
        <w:t>S</w:t>
      </w:r>
      <w:r w:rsidRPr="00B33EE6">
        <w:rPr>
          <w:sz w:val="22"/>
          <w:szCs w:val="22"/>
          <w:highlight w:val="yellow"/>
          <w:lang w:val="en-GB"/>
        </w:rPr>
        <w:t>ection 2.</w:t>
      </w:r>
      <w:r w:rsidR="00513F0F">
        <w:rPr>
          <w:sz w:val="22"/>
          <w:szCs w:val="22"/>
          <w:highlight w:val="yellow"/>
          <w:lang w:val="en-GB"/>
        </w:rPr>
        <w:t>6</w:t>
      </w:r>
      <w:r w:rsidRPr="00B33EE6">
        <w:rPr>
          <w:sz w:val="22"/>
          <w:szCs w:val="22"/>
          <w:highlight w:val="yellow"/>
          <w:lang w:val="en-GB"/>
        </w:rPr>
        <w:t>.1</w:t>
      </w:r>
      <w:r w:rsidR="007471C5" w:rsidRPr="00B33EE6">
        <w:rPr>
          <w:sz w:val="22"/>
          <w:szCs w:val="22"/>
          <w:highlight w:val="yellow"/>
          <w:lang w:val="en-GB"/>
        </w:rPr>
        <w:t>1</w:t>
      </w:r>
      <w:r w:rsidR="001C21A2" w:rsidRPr="00B33EE6">
        <w:rPr>
          <w:sz w:val="22"/>
          <w:szCs w:val="22"/>
          <w:highlight w:val="yellow"/>
          <w:lang w:val="en-GB"/>
        </w:rPr>
        <w:t>.</w:t>
      </w:r>
      <w:r w:rsidR="00513F0F">
        <w:rPr>
          <w:sz w:val="22"/>
          <w:szCs w:val="22"/>
          <w:highlight w:val="yellow"/>
          <w:lang w:val="en-GB"/>
        </w:rPr>
        <w:t>5</w:t>
      </w:r>
      <w:r w:rsidRPr="00B33EE6">
        <w:rPr>
          <w:sz w:val="22"/>
          <w:szCs w:val="22"/>
          <w:highlight w:val="yellow"/>
          <w:lang w:val="en-GB"/>
        </w:rPr>
        <w:t xml:space="preserve"> of the </w:t>
      </w:r>
      <w:r w:rsidR="00513F0F">
        <w:rPr>
          <w:sz w:val="22"/>
          <w:szCs w:val="22"/>
          <w:highlight w:val="yellow"/>
          <w:lang w:val="en-GB"/>
        </w:rPr>
        <w:t>p</w:t>
      </w:r>
      <w:r w:rsidRPr="00B33EE6">
        <w:rPr>
          <w:sz w:val="22"/>
          <w:szCs w:val="22"/>
          <w:highlight w:val="yellow"/>
          <w:lang w:val="en-GB"/>
        </w:rPr>
        <w:t xml:space="preserve">ractical </w:t>
      </w:r>
      <w:r w:rsidR="00513F0F">
        <w:rPr>
          <w:sz w:val="22"/>
          <w:szCs w:val="22"/>
          <w:highlight w:val="yellow"/>
          <w:lang w:val="en-GB"/>
        </w:rPr>
        <w:t>g</w:t>
      </w:r>
      <w:r w:rsidRPr="00B33EE6">
        <w:rPr>
          <w:sz w:val="22"/>
          <w:szCs w:val="22"/>
          <w:highlight w:val="yellow"/>
          <w:lang w:val="en-GB"/>
        </w:rPr>
        <w:t>uide.</w:t>
      </w:r>
    </w:p>
    <w:p w14:paraId="2ADD78D6" w14:textId="77777777"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CD765A">
        <w:rPr>
          <w:bCs/>
          <w:sz w:val="22"/>
          <w:szCs w:val="22"/>
          <w:highlight w:val="yellow"/>
          <w:lang w:val="en-GB"/>
        </w:rPr>
        <w:t>service contra</w:t>
      </w:r>
      <w:r w:rsidRPr="00B33EE6">
        <w:rPr>
          <w:bCs/>
          <w:sz w:val="22"/>
          <w:szCs w:val="22"/>
          <w:highlight w:val="yellow"/>
          <w:lang w:val="en-GB"/>
        </w:rPr>
        <w:t xml:space="preserve">ct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408820F" w14:textId="77777777" w:rsidR="004916FF" w:rsidRPr="004916FF" w:rsidRDefault="004916FF" w:rsidP="009F12A5">
      <w:pPr>
        <w:widowControl/>
        <w:spacing w:before="120" w:after="120"/>
        <w:ind w:left="414" w:right="310"/>
        <w:jc w:val="both"/>
        <w:outlineLvl w:val="3"/>
        <w:rPr>
          <w:sz w:val="22"/>
          <w:szCs w:val="22"/>
          <w:highlight w:val="lightGray"/>
          <w:lang w:val="en-GB"/>
        </w:rPr>
      </w:pPr>
      <w:r w:rsidRPr="004916FF">
        <w:rPr>
          <w:sz w:val="22"/>
          <w:szCs w:val="22"/>
          <w:highlight w:val="yellow"/>
          <w:lang w:val="en-GB"/>
        </w:rPr>
        <w:t>[In case of either a contract without lots, or a contract divided into lots whereby no different minimum levels of capacity are set for each lot:</w:t>
      </w:r>
      <w:r w:rsidRPr="004916FF">
        <w:rPr>
          <w:sz w:val="22"/>
          <w:szCs w:val="22"/>
          <w:lang w:val="en-GB"/>
        </w:rPr>
        <w:t xml:space="preserve"> </w:t>
      </w:r>
    </w:p>
    <w:p w14:paraId="35725DB4" w14:textId="77777777" w:rsidR="004916FF" w:rsidRPr="004916FF" w:rsidRDefault="004916FF" w:rsidP="004916FF">
      <w:pPr>
        <w:ind w:firstLine="414"/>
        <w:rPr>
          <w:sz w:val="22"/>
          <w:szCs w:val="22"/>
        </w:rPr>
      </w:pPr>
      <w:r w:rsidRPr="004916FF">
        <w:rPr>
          <w:sz w:val="22"/>
          <w:szCs w:val="22"/>
          <w:highlight w:val="lightGray"/>
        </w:rPr>
        <w:lastRenderedPageBreak/>
        <w:t>The selection criteria for each tenderer are as follows:</w:t>
      </w:r>
      <w:r w:rsidRPr="004916FF">
        <w:rPr>
          <w:sz w:val="22"/>
          <w:szCs w:val="22"/>
        </w:rPr>
        <w:t>]</w:t>
      </w:r>
    </w:p>
    <w:p w14:paraId="4A3BC96C" w14:textId="77777777" w:rsidR="004916FF" w:rsidRPr="006E1BD0" w:rsidRDefault="004916FF">
      <w:pPr>
        <w:pStyle w:val="Blockquote"/>
        <w:jc w:val="both"/>
        <w:rPr>
          <w:sz w:val="22"/>
          <w:szCs w:val="22"/>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12764E9" w14:textId="581C1E3F"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whole, in the case of a </w:t>
      </w:r>
      <w:r w:rsidR="005639EC" w:rsidRPr="00B33EE6">
        <w:rPr>
          <w:sz w:val="22"/>
          <w:szCs w:val="22"/>
          <w:lang w:val="en-GB"/>
        </w:rPr>
        <w:t>tender</w:t>
      </w:r>
      <w:r w:rsidRPr="00B33EE6">
        <w:rPr>
          <w:sz w:val="22"/>
          <w:szCs w:val="22"/>
          <w:lang w:val="en-GB"/>
        </w:rPr>
        <w:t xml:space="preserve"> from a consortium):</w:t>
      </w:r>
    </w:p>
    <w:p w14:paraId="0F573BEE" w14:textId="77777777"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uthority in the event that the contract is awarded to it; and</w:t>
      </w:r>
    </w:p>
    <w:p w14:paraId="20A2C18D" w14:textId="77777777"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14:paraId="1EE7F885" w14:textId="77777777"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14:paraId="4435C5EE" w14:textId="77777777"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14:paraId="5DF71D77" w14:textId="324485BD" w:rsidR="006F5FD0" w:rsidRPr="006E1BD0" w:rsidRDefault="006F5FD0" w:rsidP="007471C5">
      <w:pPr>
        <w:pStyle w:val="Blockquote"/>
        <w:numPr>
          <w:ilvl w:val="0"/>
          <w:numId w:val="36"/>
        </w:numPr>
        <w:shd w:val="clear" w:color="auto" w:fill="FFFF00"/>
        <w:tabs>
          <w:tab w:val="clear" w:pos="360"/>
          <w:tab w:val="num" w:pos="720"/>
        </w:tabs>
        <w:ind w:left="720"/>
        <w:jc w:val="both"/>
        <w:rPr>
          <w:sz w:val="22"/>
          <w:szCs w:val="22"/>
          <w:highlight w:val="lightGray"/>
          <w:lang w:val="en-GB"/>
        </w:rPr>
      </w:pPr>
      <w:r w:rsidRPr="006E1BD0">
        <w:rPr>
          <w:sz w:val="22"/>
          <w:szCs w:val="22"/>
          <w:highlight w:val="lightGray"/>
          <w:lang w:val="en-GB"/>
        </w:rPr>
        <w:t xml:space="preserve">the average annual turnover of the </w:t>
      </w:r>
      <w:r w:rsidR="005639EC" w:rsidRPr="006E1BD0">
        <w:rPr>
          <w:sz w:val="22"/>
          <w:szCs w:val="22"/>
          <w:highlight w:val="lightGray"/>
          <w:lang w:val="en-GB"/>
        </w:rPr>
        <w:t>tenderer</w:t>
      </w:r>
      <w:r w:rsidRPr="006E1BD0">
        <w:rPr>
          <w:sz w:val="22"/>
          <w:szCs w:val="22"/>
          <w:highlight w:val="lightGray"/>
          <w:lang w:val="en-GB"/>
        </w:rPr>
        <w:t xml:space="preserve"> must exceed  the annualised maximum budget of the contract </w:t>
      </w:r>
      <w:r w:rsidR="00E147D3" w:rsidRPr="006E1BD0">
        <w:rPr>
          <w:sz w:val="22"/>
          <w:szCs w:val="22"/>
          <w:highlight w:val="lightGray"/>
          <w:lang w:val="en-GB"/>
        </w:rPr>
        <w:t>i.e.</w:t>
      </w:r>
      <w:r w:rsidRPr="006E1BD0">
        <w:rPr>
          <w:sz w:val="22"/>
          <w:szCs w:val="22"/>
          <w:highlight w:val="lightGray"/>
          <w:lang w:val="en-GB"/>
        </w:rPr>
        <w:t xml:space="preserve"> the maximum budget stated in the </w:t>
      </w:r>
      <w:r w:rsidR="005639EC" w:rsidRPr="006E1BD0">
        <w:rPr>
          <w:sz w:val="22"/>
          <w:szCs w:val="22"/>
          <w:highlight w:val="lightGray"/>
          <w:lang w:val="en-GB"/>
        </w:rPr>
        <w:t>contract</w:t>
      </w:r>
      <w:r w:rsidRPr="006E1BD0">
        <w:rPr>
          <w:sz w:val="22"/>
          <w:szCs w:val="22"/>
          <w:highlight w:val="lightGray"/>
          <w:lang w:val="en-GB"/>
        </w:rPr>
        <w:t xml:space="preserve"> notice divided by the initial contract duration in years, where this exceeds 1 year</w:t>
      </w:r>
      <w:r w:rsidR="006751D2" w:rsidRPr="006E1BD0">
        <w:rPr>
          <w:sz w:val="22"/>
          <w:szCs w:val="22"/>
          <w:highlight w:val="lightGray"/>
          <w:lang w:val="en-GB"/>
        </w:rPr>
        <w:t xml:space="preserve"> </w:t>
      </w:r>
      <w:r w:rsidR="00AC4530" w:rsidRPr="006E1BD0">
        <w:rPr>
          <w:sz w:val="22"/>
          <w:szCs w:val="22"/>
          <w:highlight w:val="lightGray"/>
          <w:lang w:val="en-GB"/>
        </w:rPr>
        <w:t>(minimum annual turnover requested may not exceed 2 times the estimated annual contract value, except in duly justified cases motivated in the tender dossier)</w:t>
      </w:r>
      <w:r w:rsidRPr="006E1BD0">
        <w:rPr>
          <w:sz w:val="22"/>
          <w:szCs w:val="22"/>
          <w:highlight w:val="lightGray"/>
          <w:lang w:val="en-GB"/>
        </w:rPr>
        <w:t>; and</w:t>
      </w:r>
    </w:p>
    <w:p w14:paraId="6C324E8C" w14:textId="4AC32CCE"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highlight w:val="lightGray"/>
          <w:lang w:val="en-GB"/>
        </w:rPr>
        <w:t>[Current ratio (current assets/current liabilities) in the last year for which accounts have been closed must be at least 1. In case of a consortium</w:t>
      </w:r>
      <w:r w:rsidR="00E17CCF">
        <w:rPr>
          <w:sz w:val="22"/>
          <w:szCs w:val="22"/>
          <w:highlight w:val="lightGray"/>
          <w:lang w:val="en-GB"/>
        </w:rPr>
        <w:t>,</w:t>
      </w:r>
      <w:r w:rsidRPr="00B33EE6">
        <w:rPr>
          <w:sz w:val="22"/>
          <w:szCs w:val="22"/>
          <w:highlight w:val="lightGray"/>
          <w:lang w:val="en-GB"/>
        </w:rPr>
        <w:t xml:space="preserve"> this criterion must be fulfilled by each member.]</w:t>
      </w:r>
    </w:p>
    <w:p w14:paraId="60FC356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4699F45B"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1B402087"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062C89E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75B21E01" w14:textId="77777777"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14:paraId="4D35FF14" w14:textId="77777777"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above</w:t>
      </w:r>
    </w:p>
    <w:p w14:paraId="2B877FB4" w14:textId="77777777" w:rsidR="00235A71" w:rsidRPr="00B33EE6" w:rsidRDefault="00235A71" w:rsidP="00E147D3">
      <w:pPr>
        <w:pStyle w:val="Blockquote"/>
        <w:shd w:val="clear" w:color="auto" w:fill="FFFF00"/>
        <w:ind w:left="72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083AE347"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562DC7D3"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557C9DC"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03E7DF75" w14:textId="77777777"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14:paraId="71743982" w14:textId="77777777"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exceed  the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 xml:space="preserve">(minimum annual turnover requested may not exceed 2 times the estimated annual contract value, except in duly justified cases </w:t>
      </w:r>
      <w:r w:rsidR="00AC4530" w:rsidRPr="00B33EE6">
        <w:rPr>
          <w:sz w:val="22"/>
          <w:szCs w:val="22"/>
          <w:lang w:val="en-GB"/>
        </w:rPr>
        <w:lastRenderedPageBreak/>
        <w:t>motivated in the tender dossier)</w:t>
      </w:r>
      <w:r w:rsidRPr="00B33EE6">
        <w:rPr>
          <w:sz w:val="22"/>
          <w:szCs w:val="22"/>
          <w:lang w:val="en-GB"/>
        </w:rPr>
        <w:t>; and</w:t>
      </w:r>
    </w:p>
    <w:p w14:paraId="12CF1E4D" w14:textId="77777777"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t xml:space="preserve">the financial situation of the </w:t>
      </w:r>
      <w:r w:rsidR="005639EC" w:rsidRPr="00B33EE6">
        <w:rPr>
          <w:sz w:val="22"/>
          <w:szCs w:val="22"/>
          <w:lang w:val="en-GB"/>
        </w:rPr>
        <w:t>tenderer</w:t>
      </w:r>
      <w:r w:rsidRPr="00B33EE6">
        <w:rPr>
          <w:sz w:val="22"/>
          <w:szCs w:val="22"/>
          <w:lang w:val="en-GB"/>
        </w:rPr>
        <w:t xml:space="preserve"> should not be in deficit, taken into account debts, at the beginning and end of year.</w:t>
      </w:r>
    </w:p>
    <w:p w14:paraId="2ECA1D02"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AC78F93"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74DBB69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2BF7D36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CB134FA" w14:textId="77777777" w:rsidR="006F5FD0" w:rsidRPr="00B33EE6" w:rsidRDefault="006F5FD0">
      <w:pPr>
        <w:pStyle w:val="Blockquote"/>
        <w:shd w:val="clear" w:color="auto" w:fill="FFFF00"/>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p>
    <w:p w14:paraId="054A1BDD" w14:textId="77777777"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sufficient ongoing staff resources and expertise to be able to handle the proposed contract</w:t>
      </w:r>
    </w:p>
    <w:p w14:paraId="071B93E1" w14:textId="77777777"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is not a so-called </w:t>
      </w:r>
      <w:r w:rsidR="00881C2D">
        <w:rPr>
          <w:sz w:val="22"/>
          <w:szCs w:val="22"/>
          <w:lang w:val="en-GB"/>
        </w:rPr>
        <w:t>‘</w:t>
      </w:r>
      <w:r w:rsidRPr="00B33EE6">
        <w:rPr>
          <w:sz w:val="22"/>
          <w:szCs w:val="22"/>
          <w:lang w:val="en-GB"/>
        </w:rPr>
        <w:t>body shop</w:t>
      </w:r>
      <w:r w:rsidR="00881C2D">
        <w:rPr>
          <w:sz w:val="22"/>
          <w:szCs w:val="22"/>
          <w:lang w:val="en-GB"/>
        </w:rPr>
        <w:t>’</w:t>
      </w:r>
      <w:r w:rsidRPr="00B33EE6">
        <w:rPr>
          <w:sz w:val="22"/>
          <w:szCs w:val="22"/>
          <w:lang w:val="en-GB"/>
        </w:rPr>
        <w: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a </w:t>
      </w:r>
      <w:r w:rsidR="00994EA3" w:rsidRPr="00B33EE6">
        <w:rPr>
          <w:sz w:val="22"/>
          <w:szCs w:val="22"/>
          <w:lang w:val="en-GB"/>
        </w:rPr>
        <w:t>tenderer</w:t>
      </w:r>
      <w:r w:rsidRPr="00B33EE6">
        <w:rPr>
          <w:sz w:val="22"/>
          <w:szCs w:val="22"/>
          <w:lang w:val="en-GB"/>
        </w:rPr>
        <w:t xml:space="preserve"> with no real expertise in fields related to the contract but which simply identifies and proposes experts to fit the </w:t>
      </w:r>
      <w:r w:rsidR="00D51C7E">
        <w:rPr>
          <w:sz w:val="22"/>
          <w:szCs w:val="22"/>
          <w:lang w:val="en-GB"/>
        </w:rPr>
        <w:t>service contract</w:t>
      </w:r>
      <w:r w:rsidRPr="00B33EE6">
        <w:rPr>
          <w:sz w:val="22"/>
          <w:szCs w:val="22"/>
          <w:lang w:val="en-GB"/>
        </w:rPr>
        <w:t xml:space="preserve"> description</w:t>
      </w:r>
    </w:p>
    <w:p w14:paraId="4804C0C1" w14:textId="77777777"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14:paraId="796397C8" w14:textId="77777777" w:rsidR="006C0EB6" w:rsidRPr="00B33EE6" w:rsidRDefault="00235A71" w:rsidP="008272C0">
      <w:pPr>
        <w:ind w:left="426"/>
        <w:rPr>
          <w:b/>
          <w:lang w:val="en-GB"/>
        </w:rPr>
      </w:pPr>
      <w:r w:rsidRPr="00B33EE6">
        <w:rPr>
          <w:b/>
          <w:highlight w:val="yellow"/>
          <w:lang w:val="en-GB"/>
        </w:rPr>
        <w:t>[</w:t>
      </w:r>
      <w:r w:rsidR="006C0EB6" w:rsidRPr="00B33EE6">
        <w:rPr>
          <w:b/>
          <w:highlight w:val="yellow"/>
          <w:lang w:val="en-GB"/>
        </w:rPr>
        <w:t>If same criteria for legal and natural person</w:t>
      </w:r>
      <w:r w:rsidR="001E50A2" w:rsidRPr="00B33EE6">
        <w:rPr>
          <w:b/>
          <w:highlight w:val="yellow"/>
          <w:lang w:val="en-GB"/>
        </w:rPr>
        <w:t>s</w:t>
      </w:r>
    </w:p>
    <w:p w14:paraId="7CC2D488" w14:textId="77777777"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59604F6E"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5ED409B3"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14:paraId="0784F09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20EC586"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5BBC520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62A4117D"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4B3FC9AB" w14:textId="77777777"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14:paraId="6928761E" w14:textId="77777777"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14:paraId="5048444C" w14:textId="77777777" w:rsidR="00235A71" w:rsidRPr="00B33EE6" w:rsidRDefault="00235A71" w:rsidP="00B33EE6">
      <w:pPr>
        <w:pStyle w:val="Blockquote"/>
        <w:shd w:val="clear" w:color="auto" w:fill="FFFF00"/>
        <w:ind w:firstLine="36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7F710AEC" w14:textId="77777777" w:rsidR="00235A71" w:rsidRPr="003670BA" w:rsidRDefault="00235A71" w:rsidP="00E147D3">
      <w:pPr>
        <w:pStyle w:val="Blockquote"/>
        <w:spacing w:before="0"/>
        <w:ind w:left="720" w:right="357"/>
        <w:jc w:val="both"/>
        <w:rPr>
          <w:sz w:val="22"/>
          <w:szCs w:val="22"/>
          <w:highlight w:val="yellow"/>
          <w:lang w:val="es-ES_tradnl"/>
        </w:rPr>
      </w:pPr>
      <w:r w:rsidRPr="003670BA">
        <w:rPr>
          <w:sz w:val="22"/>
          <w:szCs w:val="22"/>
          <w:highlight w:val="lightGray"/>
          <w:lang w:val="es-ES_tradnl"/>
        </w:rPr>
        <w:t>1-</w:t>
      </w:r>
      <w:r w:rsidRPr="003670BA">
        <w:rPr>
          <w:sz w:val="22"/>
          <w:szCs w:val="22"/>
          <w:highlight w:val="yellow"/>
          <w:lang w:val="es-ES_tradnl"/>
        </w:rPr>
        <w:t>&lt;reference criterion&gt;</w:t>
      </w:r>
    </w:p>
    <w:p w14:paraId="2EBCEE7B"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highlight w:val="lightGray"/>
          <w:lang w:val="es-ES_tradnl"/>
        </w:rPr>
        <w:t>2-</w:t>
      </w:r>
      <w:r w:rsidRPr="003670BA">
        <w:rPr>
          <w:sz w:val="22"/>
          <w:szCs w:val="22"/>
          <w:highlight w:val="yellow"/>
          <w:lang w:val="es-ES_tradnl"/>
        </w:rPr>
        <w:t>&lt;reference criterion&gt;</w:t>
      </w:r>
    </w:p>
    <w:p w14:paraId="2115AA25"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14:paraId="572D0F87" w14:textId="77777777"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14:paraId="76B98FD2" w14:textId="77777777"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lastRenderedPageBreak/>
        <w:t>has a professional certificate appropriate to this contract, such as &lt;specify&gt;;</w:t>
      </w:r>
    </w:p>
    <w:p w14:paraId="47CF6D11"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14:paraId="7B97EFBA"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0ED4A883"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0F515979"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EE22D0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14:paraId="05E75179" w14:textId="19CA94AE"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051D1D">
        <w:rPr>
          <w:sz w:val="22"/>
          <w:szCs w:val="22"/>
          <w:lang w:val="en-GB"/>
        </w:rPr>
        <w:t>[</w:t>
      </w:r>
      <w:r w:rsidR="00BE08EC" w:rsidRPr="00B33EE6">
        <w:rPr>
          <w:sz w:val="22"/>
          <w:szCs w:val="22"/>
          <w:highlight w:val="lightGray"/>
          <w:lang w:val="en-GB"/>
        </w:rPr>
        <w:t>three</w:t>
      </w:r>
      <w:r w:rsidR="00862885" w:rsidRPr="00862885">
        <w:rPr>
          <w:sz w:val="22"/>
          <w:szCs w:val="22"/>
          <w:highlight w:val="lightGray"/>
          <w:lang w:val="en-GB"/>
        </w:rPr>
        <w:t xml:space="preserve"> </w:t>
      </w:r>
      <w:r w:rsidR="00862885" w:rsidRPr="00A046E7">
        <w:rPr>
          <w:sz w:val="22"/>
          <w:szCs w:val="22"/>
          <w:highlight w:val="lightGray"/>
          <w:lang w:val="en-GB"/>
        </w:rPr>
        <w:t>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62D4B34" w14:textId="77777777"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t xml:space="preserve">The objective of this criterion is to examine whether or not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14:paraId="62AABEDD" w14:textId="77777777"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14:paraId="4B690E3C" w14:textId="77777777"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1853E77F" w14:textId="77777777"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1661F7" w:rsidRPr="00B33EE6">
        <w:rPr>
          <w:sz w:val="22"/>
          <w:szCs w:val="22"/>
          <w:lang w:val="en-GB"/>
        </w:rPr>
        <w:t xml:space="preserve">provided services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0F3A8DD3" w14:textId="187CC010"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545F8728"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6FD0E983"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3C9B3A94"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2A232080" w14:textId="77777777"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14:paraId="20A29516" w14:textId="77777777"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14:paraId="183E2484" w14:textId="77777777" w:rsidR="00235A71" w:rsidRPr="00B33EE6" w:rsidRDefault="00235A71" w:rsidP="00B33EE6">
      <w:pPr>
        <w:pStyle w:val="Blockquote"/>
        <w:shd w:val="clear" w:color="auto" w:fill="FFFF00"/>
        <w:ind w:left="357" w:right="357" w:firstLine="363"/>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230BA649"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0F6F931"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lastRenderedPageBreak/>
        <w:t>2-</w:t>
      </w:r>
      <w:r w:rsidRPr="00B33EE6">
        <w:rPr>
          <w:sz w:val="22"/>
          <w:szCs w:val="22"/>
          <w:highlight w:val="yellow"/>
          <w:lang w:val="en-GB"/>
        </w:rPr>
        <w:t>&lt;reference criterion&gt;</w:t>
      </w:r>
    </w:p>
    <w:p w14:paraId="6DC288E4"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B0A8697" w14:textId="77777777"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14:paraId="3DDA411F"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years</w:t>
      </w:r>
    </w:p>
    <w:p w14:paraId="79011C2C"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3AA2C2FD"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11F3942"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75E4482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C14D56">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lastRenderedPageBreak/>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77777777"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FA6F9F">
        <w:rPr>
          <w:highlight w:val="yellow"/>
          <w:lang w:val="en-GB"/>
        </w:rPr>
        <w:t>[</w:t>
      </w:r>
      <w:r w:rsidRPr="00AF412E">
        <w:rPr>
          <w:highlight w:val="lightGray"/>
          <w:lang w:val="en-GB"/>
        </w:rPr>
        <w:t>EUR</w:t>
      </w:r>
      <w:r w:rsidRPr="00FA6F9F">
        <w:rPr>
          <w:highlight w:val="yellow"/>
          <w:lang w:val="en-GB"/>
        </w:rPr>
        <w:t>] [&lt;ISO code of national currency&gt; only for indirect management in the following cases: (i) when legal or local constraints exceptionally impose using the national currency; (ii) when needed, for contracts within the imprest com</w:t>
      </w:r>
      <w:r w:rsidRPr="002E50D2">
        <w:rPr>
          <w:highlight w:val="yellow"/>
          <w:lang w:val="en-GB"/>
        </w:rPr>
        <w:t>ponent of a programme estimate]</w:t>
      </w:r>
      <w:r>
        <w:rPr>
          <w:lang w:val="en-GB"/>
        </w:rPr>
        <w:t xml:space="preserve">. If applicable, where a candidate refers to amounts originally expressed in a different currency, the conversion to </w:t>
      </w:r>
      <w:r w:rsidRPr="00BB4111">
        <w:rPr>
          <w:highlight w:val="yellow"/>
          <w:lang w:val="en-GB"/>
        </w:rPr>
        <w:t>[</w:t>
      </w:r>
      <w:r w:rsidRPr="00AF412E">
        <w:rPr>
          <w:highlight w:val="lightGray"/>
          <w:lang w:val="en-GB"/>
        </w:rPr>
        <w:t>EUR</w:t>
      </w:r>
      <w:r w:rsidRPr="00BB4111">
        <w:rPr>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Pr>
          <w:lang w:val="en-GB"/>
        </w:rPr>
        <w:t xml:space="preserve"> shall be made in accordance with the InforEuro exchange rate of </w:t>
      </w:r>
      <w:r w:rsidRPr="00FA6F9F">
        <w:rPr>
          <w:highlight w:val="yellow"/>
          <w:lang w:val="en-GB"/>
        </w:rPr>
        <w:t>[&lt;</w:t>
      </w:r>
      <w:r w:rsidRPr="00FA6F9F">
        <w:rPr>
          <w:b/>
          <w:highlight w:val="yellow"/>
          <w:lang w:val="en-GB"/>
        </w:rPr>
        <w:t xml:space="preserve">MONTH and YEAR&gt; </w:t>
      </w:r>
      <w:r w:rsidRPr="00FA6F9F">
        <w:rPr>
          <w:highlight w:val="yellow"/>
          <w:lang w:val="en-GB"/>
        </w:rPr>
        <w:t>of the applicable InforEuro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p w14:paraId="4EE4635D" w14:textId="77777777" w:rsidR="00E9047D" w:rsidRPr="00F9055E" w:rsidRDefault="00E9047D" w:rsidP="00235A71">
      <w:pPr>
        <w:pStyle w:val="Blockquote"/>
        <w:jc w:val="both"/>
        <w:rPr>
          <w:sz w:val="22"/>
          <w:szCs w:val="22"/>
          <w:lang w:val="en-GB"/>
        </w:rPr>
      </w:pPr>
      <w:r w:rsidRPr="00F9055E">
        <w:rPr>
          <w:sz w:val="22"/>
          <w:szCs w:val="22"/>
          <w:lang w:val="en-GB"/>
        </w:rPr>
        <w:t>&lt;</w:t>
      </w:r>
      <w:r w:rsidRPr="00F9055E">
        <w:rPr>
          <w:sz w:val="22"/>
          <w:szCs w:val="22"/>
          <w:highlight w:val="yellow"/>
          <w:lang w:val="en-GB"/>
        </w:rPr>
        <w:t>As appropriate</w:t>
      </w:r>
      <w:r w:rsidR="00235A71" w:rsidRPr="00F9055E">
        <w:rPr>
          <w:sz w:val="22"/>
          <w:szCs w:val="22"/>
          <w:highlight w:val="yellow"/>
          <w:lang w:val="en-GB"/>
        </w:rPr>
        <w:t>:</w:t>
      </w:r>
      <w:r w:rsidR="00235A71" w:rsidRPr="00F9055E">
        <w:rPr>
          <w:sz w:val="22"/>
          <w:szCs w:val="22"/>
          <w:lang w:val="en-GB"/>
        </w:rPr>
        <w:t xml:space="preserve"> </w:t>
      </w:r>
      <w:r w:rsidRPr="00F9055E">
        <w:rPr>
          <w:sz w:val="22"/>
          <w:szCs w:val="22"/>
          <w:highlight w:val="yellow"/>
          <w:lang w:val="en-GB"/>
        </w:rPr>
        <w:t>e.g. opening hours of the contracting authority, the amount of incidental expenditure if this is higher than normal e</w:t>
      </w:r>
      <w:r w:rsidR="00BE5F29">
        <w:rPr>
          <w:sz w:val="22"/>
          <w:szCs w:val="22"/>
          <w:highlight w:val="yellow"/>
          <w:lang w:val="en-GB"/>
        </w:rPr>
        <w:t>t</w:t>
      </w:r>
      <w:r w:rsidRPr="00F9055E">
        <w:rPr>
          <w:sz w:val="22"/>
          <w:szCs w:val="22"/>
          <w:highlight w:val="yellow"/>
          <w:lang w:val="en-GB"/>
        </w:rPr>
        <w:t>c.</w:t>
      </w:r>
      <w:r w:rsidR="00235A71" w:rsidRPr="00F9055E">
        <w:rPr>
          <w:sz w:val="22"/>
          <w:szCs w:val="22"/>
          <w:lang w:val="en-GB"/>
        </w:rPr>
        <w:t>&gt;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 w:id="1">
    <w:p w14:paraId="1D399BFC" w14:textId="564AD00C" w:rsidR="0038795F" w:rsidRPr="0038795F" w:rsidRDefault="0038795F" w:rsidP="006E1BD0">
      <w:pPr>
        <w:pStyle w:val="FootnoteText"/>
        <w:spacing w:before="0" w:after="0"/>
      </w:pPr>
      <w:r>
        <w:rPr>
          <w:rStyle w:val="FootnoteReference"/>
        </w:rPr>
        <w:footnoteRef/>
      </w:r>
      <w:r>
        <w:t xml:space="preserve"> </w:t>
      </w:r>
      <w:r w:rsidR="00445514">
        <w:rPr>
          <w:lang w:val="en-GB"/>
        </w:rPr>
        <w:t>Council Decision (EU) 2021/1764 of 5 October 2021 on the association of the Overseas Countries and Territories with the European Union including relations between the European Union on the one hand, and the Greenland and the Kingdom of Denmark on the other (Decision on the Overseas Association, including Greenland); OJ L 355, 7.10.2021, p. 6</w:t>
      </w:r>
      <w:r w:rsidR="00445514" w:rsidRPr="003D2CB4">
        <w:t>–</w:t>
      </w:r>
      <w:r w:rsidR="00445514">
        <w:rPr>
          <w:lang w:val="en-GB"/>
        </w:rPr>
        <w:t>134.</w:t>
      </w:r>
    </w:p>
  </w:footnote>
  <w:footnote w:id="2">
    <w:p w14:paraId="681F1DAB" w14:textId="77777777" w:rsidR="00B9793F" w:rsidRPr="003D2CB4" w:rsidRDefault="00B9793F" w:rsidP="006E1BD0">
      <w:pPr>
        <w:pStyle w:val="FootnoteText"/>
        <w:spacing w:before="0" w:after="0"/>
        <w:jc w:val="both"/>
      </w:pPr>
      <w:r>
        <w:rPr>
          <w:rStyle w:val="FootnoteReference"/>
        </w:rPr>
        <w:footnoteRef/>
      </w:r>
      <w:r>
        <w:t xml:space="preserve"> </w:t>
      </w:r>
      <w:r w:rsidRPr="003D2CB4">
        <w:t xml:space="preserve">Regulation (EU) 2021/947 of the European Parliament and of the Council of 9 June 2021 establishing the </w:t>
      </w:r>
      <w:r w:rsidRPr="006E6CA8">
        <w:rPr>
          <w:lang w:val="en-GB"/>
        </w:rPr>
        <w:t>Neighbourhood</w:t>
      </w:r>
      <w:r w:rsidRPr="003D2CB4">
        <w:t>, Development and International Cooperation Instrument – Global Europe, amending and repealing Decision No 466/2014/EU and repealing Regulation (EU) 2017/1601 and Council Regulation (EC, Euratom) No 480/2009; OJ L 209, 14.6.2021, p. 1–78.</w:t>
      </w:r>
    </w:p>
  </w:footnote>
  <w:footnote w:id="3">
    <w:p w14:paraId="0CC20F1A" w14:textId="77777777" w:rsidR="00B9793F" w:rsidRPr="003D2CB4" w:rsidRDefault="00B9793F" w:rsidP="006E1BD0">
      <w:pPr>
        <w:pStyle w:val="FootnoteText"/>
        <w:spacing w:before="0" w:after="0"/>
        <w:jc w:val="both"/>
      </w:pPr>
      <w:r>
        <w:rPr>
          <w:rStyle w:val="FootnoteReference"/>
        </w:rPr>
        <w:footnoteRef/>
      </w:r>
      <w:r>
        <w:t xml:space="preserve"> </w:t>
      </w:r>
      <w:r w:rsidRPr="003D2CB4">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(Euratom) No 237/2014; OJ L 209, 14.6.2021, p. 79–90.</w:t>
      </w:r>
    </w:p>
  </w:footnote>
  <w:footnote w:id="4">
    <w:p w14:paraId="7EB95E09" w14:textId="0155FD33" w:rsidR="0038795F" w:rsidRPr="0038795F" w:rsidRDefault="0038795F" w:rsidP="006E1BD0">
      <w:pPr>
        <w:pStyle w:val="FootnoteText"/>
        <w:spacing w:before="0" w:after="0"/>
      </w:pPr>
      <w:r>
        <w:rPr>
          <w:rStyle w:val="FootnoteReference"/>
        </w:rPr>
        <w:footnoteRef/>
      </w:r>
      <w:r>
        <w:t xml:space="preserve"> </w:t>
      </w:r>
      <w:r w:rsidR="00445514">
        <w:t>Regulation (EU) 2021/1529 of the European Parliament and of the Council of 15 September 2021 establishing the Instrument for Pre-Accession assistance (IPA III); OJ L 330, 20.9.2021, p. 1</w:t>
      </w:r>
      <w:r w:rsidR="00445514" w:rsidRPr="003D2CB4">
        <w:t>–</w:t>
      </w:r>
      <w:r w:rsidR="00445514">
        <w:t>26</w:t>
      </w:r>
      <w:r w:rsidR="00445514">
        <w:rPr>
          <w:lang w:val="en-GB"/>
        </w:rPr>
        <w:t>.</w:t>
      </w:r>
    </w:p>
  </w:footnote>
  <w:footnote w:id="5">
    <w:p w14:paraId="0BCA1417" w14:textId="77777777" w:rsidR="00B9793F" w:rsidRPr="00CC4B2C" w:rsidRDefault="00B9793F" w:rsidP="006E1BD0">
      <w:pPr>
        <w:pStyle w:val="FootnoteText"/>
        <w:spacing w:before="0" w:after="0"/>
        <w:jc w:val="both"/>
      </w:pPr>
      <w:r w:rsidRPr="00CC4B2C">
        <w:rPr>
          <w:rStyle w:val="FootnoteReference"/>
        </w:rPr>
        <w:footnoteRef/>
      </w:r>
      <w:r w:rsidRPr="00CC4B2C">
        <w:t xml:space="preserve"> </w:t>
      </w:r>
      <w:r w:rsidRPr="006E6CA8">
        <w:t>Article 21 08 01 — Evaluation of the results of Union aid and follow-up and audit measures; Article 21 08 02 — Coordination and promotion of awareness on development issues and on the enlargement and neighborhood policies.</w:t>
      </w:r>
    </w:p>
  </w:footnote>
  <w:footnote w:id="6">
    <w:p w14:paraId="6271804F" w14:textId="77777777" w:rsidR="00B9793F" w:rsidRPr="001109B5" w:rsidRDefault="00B9793F" w:rsidP="006E1BD0">
      <w:pPr>
        <w:pStyle w:val="FootnoteText"/>
        <w:spacing w:before="0" w:after="0"/>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7">
    <w:p w14:paraId="37543B41" w14:textId="77777777" w:rsidR="00B9793F" w:rsidRPr="001109B5" w:rsidRDefault="00B9793F" w:rsidP="006E1BD0">
      <w:pPr>
        <w:pStyle w:val="FootnoteText"/>
        <w:spacing w:before="0" w:after="0"/>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 w:id="8">
    <w:p w14:paraId="3571FD50" w14:textId="77777777" w:rsidR="00B9793F" w:rsidRPr="00CC4B2C" w:rsidRDefault="00B9793F" w:rsidP="006E1BD0">
      <w:pPr>
        <w:pStyle w:val="FootnoteText"/>
        <w:spacing w:before="0" w:after="0"/>
        <w:jc w:val="both"/>
      </w:pPr>
      <w:r>
        <w:rPr>
          <w:rStyle w:val="FootnoteReference"/>
        </w:rPr>
        <w:footnoteRef/>
      </w:r>
      <w:r w:rsidRPr="006A756E">
        <w:t xml:space="preserve">  </w:t>
      </w:r>
      <w:r w:rsidRPr="006E6CA8">
        <w:t>Article 21 08 01 — Evaluation of the results of Union aid and follow-up and audit measures; Article 21 08 02 — Coordination and promotion of awareness on development issues and on the enlargement and neighborhood policies.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70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Annexes-AnnexesA(Ch.2):Genera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12</Pages>
  <Words>4137</Words>
  <Characters>22881</Characters>
  <Application>Microsoft Office Word</Application>
  <DocSecurity>0</DocSecurity>
  <Lines>448</Lines>
  <Paragraphs>245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26773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DUBOIS Laurence (INTPA)</cp:lastModifiedBy>
  <cp:revision>40</cp:revision>
  <cp:lastPrinted>2016-05-31T08:36:00Z</cp:lastPrinted>
  <dcterms:created xsi:type="dcterms:W3CDTF">2020-04-15T15:51:00Z</dcterms:created>
  <dcterms:modified xsi:type="dcterms:W3CDTF">2022-08-02T08:03:00Z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