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A0" w:firstRow="1" w:lastRow="0" w:firstColumn="1" w:lastColumn="0" w:noHBand="0" w:noVBand="1"/>
      </w:tblPr>
      <w:tblGrid>
        <w:gridCol w:w="2400"/>
        <w:gridCol w:w="7080"/>
      </w:tblGrid>
      <w:bookmarkStart w:id="0" w:name="_GoBack" w:displacedByCustomXml="next"/>
      <w:bookmarkEnd w:id="0" w:displacedByCustomXml="next"/>
      <w:sdt>
        <w:sdtPr>
          <w:rPr>
            <w:rFonts w:ascii="Times New Roman" w:hAnsi="Times New Roman"/>
            <w:sz w:val="22"/>
            <w:szCs w:val="22"/>
          </w:rPr>
          <w:alias w:val="Header"/>
          <w:tag w:val="A4pCgmOjXaoPaysOY21Ij7-5QkCVxYFQ4ANGFaoRKN4I2"/>
          <w:id w:val="-347253777"/>
        </w:sdtPr>
        <w:sdtEndPr/>
        <w:sdtContent>
          <w:tr w:rsidR="00D139D0" w:rsidRPr="007A7C48" w14:paraId="624562FD" w14:textId="77777777">
            <w:tc>
              <w:tcPr>
                <w:tcW w:w="2400" w:type="dxa"/>
              </w:tcPr>
              <w:p w14:paraId="349265B2" w14:textId="77777777" w:rsidR="00D139D0" w:rsidRPr="007A7C48" w:rsidRDefault="00CD6762" w:rsidP="00700C3D">
                <w:pPr>
                  <w:pStyle w:val="ZFlag"/>
                  <w:rPr>
                    <w:rFonts w:ascii="Times New Roman" w:hAnsi="Times New Roman"/>
                    <w:sz w:val="22"/>
                    <w:szCs w:val="22"/>
                  </w:rPr>
                </w:pPr>
                <w:r w:rsidRPr="007A7C48">
                  <w:rPr>
                    <w:rFonts w:ascii="Times New Roman" w:hAnsi="Times New Roman"/>
                    <w:noProof/>
                    <w:sz w:val="22"/>
                    <w:szCs w:val="22"/>
                  </w:rPr>
                  <w:drawing>
                    <wp:inline distT="0" distB="0" distL="0" distR="0" wp14:anchorId="016ACF20" wp14:editId="7998AC8E">
                      <wp:extent cx="1371600" cy="6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F542ECF" w14:textId="77777777" w:rsidR="00D139D0" w:rsidRPr="007A7C48" w:rsidRDefault="00EA12DF" w:rsidP="00700C3D">
                <w:pPr>
                  <w:pStyle w:val="ZCom"/>
                  <w:rPr>
                    <w:rFonts w:ascii="Times New Roman" w:hAnsi="Times New Roman"/>
                    <w:sz w:val="22"/>
                    <w:szCs w:val="22"/>
                    <w:lang w:val="en-IE"/>
                  </w:rPr>
                </w:pPr>
                <w:sdt>
                  <w:sdtPr>
                    <w:rPr>
                      <w:rFonts w:ascii="Times New Roman" w:hAnsi="Times New Roman"/>
                      <w:noProof/>
                      <w:sz w:val="22"/>
                      <w:szCs w:val="22"/>
                      <w:lang w:val="en-IE"/>
                    </w:rPr>
                    <w:id w:val="1652865854"/>
                    <w:dataBinding w:xpath="/Texts/OrgaRoot" w:storeItemID="{4EF90DE6-88B6-4264-9629-4D8DFDFE87D2}"/>
                    <w:text w:multiLine="1"/>
                  </w:sdtPr>
                  <w:sdtEndPr/>
                  <w:sdtContent>
                    <w:r w:rsidR="0075636A" w:rsidRPr="007A7C48">
                      <w:rPr>
                        <w:rFonts w:ascii="Times New Roman" w:hAnsi="Times New Roman"/>
                        <w:noProof/>
                        <w:sz w:val="22"/>
                        <w:szCs w:val="22"/>
                        <w:lang w:val="en-IE"/>
                      </w:rPr>
                      <w:t>EUROPEAN COMMISSION</w:t>
                    </w:r>
                  </w:sdtContent>
                </w:sdt>
              </w:p>
              <w:p w14:paraId="0B94B08A" w14:textId="77777777" w:rsidR="00D139D0" w:rsidRPr="007A7C48" w:rsidRDefault="00EA12DF" w:rsidP="00700C3D">
                <w:pPr>
                  <w:pStyle w:val="ZDGName"/>
                  <w:jc w:val="both"/>
                  <w:rPr>
                    <w:rFonts w:ascii="Times New Roman" w:hAnsi="Times New Roman"/>
                    <w:sz w:val="22"/>
                    <w:szCs w:val="22"/>
                    <w:lang w:val="en-IE"/>
                  </w:rPr>
                </w:pPr>
                <w:sdt>
                  <w:sdtPr>
                    <w:rPr>
                      <w:rFonts w:ascii="Times New Roman" w:hAnsi="Times New Roman"/>
                      <w:noProof/>
                      <w:sz w:val="22"/>
                      <w:szCs w:val="22"/>
                      <w:lang w:val="en-IE"/>
                    </w:rPr>
                    <w:id w:val="-1646649540"/>
                    <w:showingPlcHdr/>
                    <w:dataBinding w:xpath="/Author/OrgaEntity1/HeadLine1" w:storeItemID="{EE044946-5330-43F7-8D16-AA78684F2938}"/>
                    <w:text w:multiLine="1"/>
                  </w:sdtPr>
                  <w:sdtEndPr/>
                  <w:sdtContent>
                    <w:r w:rsidR="00C73EA0" w:rsidRPr="007A7C48">
                      <w:rPr>
                        <w:rFonts w:ascii="Times New Roman" w:hAnsi="Times New Roman"/>
                        <w:noProof/>
                        <w:sz w:val="22"/>
                        <w:szCs w:val="22"/>
                        <w:lang w:val="en-IE"/>
                      </w:rPr>
                      <w:t xml:space="preserve">     </w:t>
                    </w:r>
                  </w:sdtContent>
                </w:sdt>
              </w:p>
            </w:tc>
          </w:tr>
        </w:sdtContent>
      </w:sdt>
    </w:tbl>
    <w:p w14:paraId="1AF38158" w14:textId="77777777" w:rsidR="00D139D0" w:rsidRPr="007A7C48" w:rsidRDefault="00D139D0" w:rsidP="006B6CEE">
      <w:pPr>
        <w:pStyle w:val="Date"/>
        <w:ind w:left="0"/>
        <w:jc w:val="both"/>
        <w:rPr>
          <w:sz w:val="22"/>
          <w:szCs w:val="22"/>
          <w:lang w:val="en-IE"/>
        </w:rPr>
      </w:pPr>
    </w:p>
    <w:p w14:paraId="0AB5C2FF" w14:textId="77777777" w:rsidR="006B6CEE" w:rsidRPr="007A7C48" w:rsidRDefault="006B6CEE" w:rsidP="006B6CEE">
      <w:pPr>
        <w:pStyle w:val="References"/>
        <w:rPr>
          <w:sz w:val="22"/>
          <w:szCs w:val="22"/>
          <w:lang w:val="en-IE"/>
        </w:rPr>
      </w:pPr>
    </w:p>
    <w:p w14:paraId="7A0662B0" w14:textId="77777777" w:rsidR="006B6CEE" w:rsidRPr="007A7C48" w:rsidRDefault="006B6CEE" w:rsidP="006B6CEE">
      <w:pPr>
        <w:spacing w:after="480"/>
        <w:jc w:val="center"/>
        <w:rPr>
          <w:rFonts w:eastAsia="Calibri"/>
          <w:b/>
          <w:sz w:val="22"/>
          <w:szCs w:val="22"/>
          <w:u w:val="single"/>
          <w:lang w:val="en-GB" w:eastAsia="en-US"/>
        </w:rPr>
      </w:pPr>
      <w:r w:rsidRPr="007A7C48">
        <w:rPr>
          <w:rFonts w:eastAsia="Calibri"/>
          <w:b/>
          <w:sz w:val="22"/>
          <w:szCs w:val="22"/>
          <w:u w:val="single"/>
          <w:lang w:val="en-GB" w:eastAsia="en-US"/>
        </w:rPr>
        <w:t>PROTECTION OF YOUR PERSONAL DATA</w:t>
      </w:r>
    </w:p>
    <w:p w14:paraId="6204E0AA" w14:textId="77777777" w:rsidR="006B6CEE" w:rsidRPr="007A7C48" w:rsidRDefault="006B6CEE" w:rsidP="006B6CEE">
      <w:pPr>
        <w:jc w:val="center"/>
        <w:rPr>
          <w:rFonts w:eastAsia="Calibri"/>
          <w:b/>
          <w:sz w:val="22"/>
          <w:szCs w:val="22"/>
          <w:lang w:val="en-GB" w:eastAsia="en-US"/>
        </w:rPr>
      </w:pPr>
      <w:r w:rsidRPr="007A7C48">
        <w:rPr>
          <w:rFonts w:eastAsia="Calibri"/>
          <w:b/>
          <w:sz w:val="22"/>
          <w:szCs w:val="22"/>
          <w:lang w:val="en-GB" w:eastAsia="en-US"/>
        </w:rPr>
        <w:t xml:space="preserve">This privacy statement provides information about </w:t>
      </w:r>
      <w:r w:rsidRPr="007A7C48">
        <w:rPr>
          <w:rFonts w:eastAsia="Calibri"/>
          <w:b/>
          <w:sz w:val="22"/>
          <w:szCs w:val="22"/>
          <w:lang w:val="en-GB" w:eastAsia="en-US"/>
        </w:rPr>
        <w:br/>
        <w:t>the processing and the protection of your personal data.</w:t>
      </w:r>
    </w:p>
    <w:p w14:paraId="702BB4CB" w14:textId="77777777" w:rsidR="006B6CEE" w:rsidRPr="007A7C48" w:rsidRDefault="006B6CEE" w:rsidP="006B6CEE">
      <w:pPr>
        <w:jc w:val="center"/>
        <w:rPr>
          <w:rFonts w:eastAsia="Calibri"/>
          <w:b/>
          <w:sz w:val="22"/>
          <w:szCs w:val="22"/>
          <w:lang w:val="en-GB" w:eastAsia="en-US"/>
        </w:rPr>
      </w:pPr>
    </w:p>
    <w:p w14:paraId="1F79144A" w14:textId="77777777" w:rsidR="00932DD9" w:rsidRPr="00637256" w:rsidRDefault="00932DD9" w:rsidP="00F376B4">
      <w:pPr>
        <w:rPr>
          <w:rFonts w:eastAsia="Calibri"/>
          <w:b/>
          <w:sz w:val="22"/>
          <w:szCs w:val="22"/>
          <w:lang w:val="en-GB" w:eastAsia="en-US"/>
        </w:rPr>
      </w:pPr>
    </w:p>
    <w:p w14:paraId="57C3C42F" w14:textId="21204854" w:rsidR="006B6CEE" w:rsidRPr="00637256" w:rsidRDefault="006B6CEE" w:rsidP="00F376B4">
      <w:pPr>
        <w:rPr>
          <w:rFonts w:eastAsia="Calibri"/>
          <w:b/>
          <w:sz w:val="22"/>
          <w:szCs w:val="22"/>
          <w:lang w:val="en-GB" w:eastAsia="en-US"/>
        </w:rPr>
      </w:pPr>
      <w:r w:rsidRPr="00637256">
        <w:rPr>
          <w:rFonts w:eastAsia="Calibri"/>
          <w:b/>
          <w:sz w:val="22"/>
          <w:szCs w:val="22"/>
          <w:lang w:val="en-GB" w:eastAsia="en-US"/>
        </w:rPr>
        <w:t xml:space="preserve">Processing operation: </w:t>
      </w:r>
      <w:r w:rsidR="00F376B4" w:rsidRPr="00393CF8">
        <w:rPr>
          <w:rFonts w:eastAsia="Calibri"/>
          <w:b/>
          <w:sz w:val="22"/>
          <w:szCs w:val="22"/>
          <w:highlight w:val="yellow"/>
          <w:lang w:val="en-GB" w:eastAsia="en-US"/>
        </w:rPr>
        <w:t xml:space="preserve">For DG </w:t>
      </w:r>
      <w:r w:rsidR="00B63152" w:rsidRPr="00393CF8">
        <w:rPr>
          <w:rFonts w:eastAsia="Calibri"/>
          <w:b/>
          <w:sz w:val="22"/>
          <w:szCs w:val="22"/>
          <w:highlight w:val="yellow"/>
          <w:lang w:val="en-GB" w:eastAsia="en-US"/>
        </w:rPr>
        <w:t>INTPA</w:t>
      </w:r>
      <w:r w:rsidR="003E480E" w:rsidRPr="00637256">
        <w:rPr>
          <w:rFonts w:eastAsia="Calibri"/>
          <w:b/>
          <w:sz w:val="22"/>
          <w:szCs w:val="22"/>
          <w:lang w:val="en-GB" w:eastAsia="en-US"/>
        </w:rPr>
        <w:t>:</w:t>
      </w:r>
      <w:r w:rsidR="00F376B4" w:rsidRPr="00637256">
        <w:rPr>
          <w:rFonts w:eastAsia="Calibri"/>
          <w:b/>
          <w:sz w:val="22"/>
          <w:szCs w:val="22"/>
          <w:lang w:val="en-GB" w:eastAsia="en-US"/>
        </w:rPr>
        <w:t xml:space="preserve"> </w:t>
      </w:r>
      <w:r w:rsidR="00393CF8">
        <w:rPr>
          <w:rFonts w:eastAsia="Calibri"/>
          <w:b/>
          <w:sz w:val="22"/>
          <w:szCs w:val="22"/>
          <w:lang w:val="en-GB" w:eastAsia="en-US"/>
        </w:rPr>
        <w:t>[</w:t>
      </w:r>
      <w:r w:rsidRPr="00393CF8">
        <w:rPr>
          <w:rFonts w:eastAsia="Calibri"/>
          <w:b/>
          <w:sz w:val="22"/>
          <w:szCs w:val="22"/>
          <w:highlight w:val="lightGray"/>
          <w:lang w:val="en-GB" w:eastAsia="en-US"/>
        </w:rPr>
        <w:t xml:space="preserve">DG </w:t>
      </w:r>
      <w:r w:rsidR="00B63152" w:rsidRPr="00393CF8">
        <w:rPr>
          <w:rFonts w:eastAsia="Calibri"/>
          <w:b/>
          <w:sz w:val="22"/>
          <w:szCs w:val="22"/>
          <w:highlight w:val="lightGray"/>
          <w:lang w:val="en-GB" w:eastAsia="en-US"/>
        </w:rPr>
        <w:t>INTPA</w:t>
      </w:r>
      <w:r w:rsidRPr="00393CF8">
        <w:rPr>
          <w:rFonts w:eastAsia="Calibri"/>
          <w:b/>
          <w:sz w:val="22"/>
          <w:szCs w:val="22"/>
          <w:highlight w:val="lightGray"/>
          <w:lang w:val="en-GB" w:eastAsia="en-US"/>
        </w:rPr>
        <w:t xml:space="preserve"> External action procurement and grant award procedures, contract execution and grant implementation under direct management and under indirect management with partner countries</w:t>
      </w:r>
      <w:r w:rsidR="00393CF8">
        <w:rPr>
          <w:rFonts w:eastAsia="Calibri"/>
          <w:b/>
          <w:sz w:val="22"/>
          <w:szCs w:val="22"/>
          <w:lang w:val="en-GB" w:eastAsia="en-US"/>
        </w:rPr>
        <w:t>]</w:t>
      </w:r>
    </w:p>
    <w:p w14:paraId="0C4A2368" w14:textId="6BCB49A8" w:rsidR="00F376B4" w:rsidRPr="00637256" w:rsidRDefault="00F376B4" w:rsidP="00F376B4">
      <w:pPr>
        <w:rPr>
          <w:rFonts w:eastAsia="Calibri"/>
          <w:b/>
          <w:sz w:val="22"/>
          <w:szCs w:val="22"/>
          <w:lang w:val="en-GB" w:eastAsia="en-US"/>
        </w:rPr>
      </w:pPr>
      <w:r w:rsidRPr="00393CF8">
        <w:rPr>
          <w:rFonts w:eastAsia="Calibri"/>
          <w:b/>
          <w:sz w:val="22"/>
          <w:szCs w:val="22"/>
          <w:highlight w:val="yellow"/>
          <w:lang w:val="en-GB" w:eastAsia="en-US"/>
        </w:rPr>
        <w:t>For DG NEAR</w:t>
      </w:r>
      <w:r w:rsidR="003E480E" w:rsidRPr="00637256">
        <w:rPr>
          <w:rFonts w:eastAsia="Calibri"/>
          <w:b/>
          <w:sz w:val="22"/>
          <w:szCs w:val="22"/>
          <w:lang w:val="en-GB" w:eastAsia="en-US"/>
        </w:rPr>
        <w:t>:</w:t>
      </w:r>
      <w:r w:rsidR="00BA3926" w:rsidRPr="00637256">
        <w:rPr>
          <w:rFonts w:eastAsia="Calibri"/>
          <w:b/>
          <w:sz w:val="22"/>
          <w:szCs w:val="22"/>
          <w:lang w:val="en-GB" w:eastAsia="en-US"/>
        </w:rPr>
        <w:t xml:space="preserve"> </w:t>
      </w:r>
      <w:r w:rsidR="00393CF8">
        <w:rPr>
          <w:rFonts w:eastAsia="Calibri"/>
          <w:b/>
          <w:sz w:val="22"/>
          <w:szCs w:val="22"/>
          <w:lang w:val="en-GB" w:eastAsia="en-US"/>
        </w:rPr>
        <w:t>[</w:t>
      </w:r>
      <w:r w:rsidR="004D7EFA" w:rsidRPr="00393CF8">
        <w:rPr>
          <w:rFonts w:eastAsia="Calibri"/>
          <w:b/>
          <w:sz w:val="22"/>
          <w:szCs w:val="22"/>
          <w:highlight w:val="lightGray"/>
          <w:lang w:val="en-GB" w:eastAsia="en-US"/>
        </w:rPr>
        <w:t xml:space="preserve">DG NEAR </w:t>
      </w:r>
      <w:r w:rsidR="0009417A" w:rsidRPr="00393CF8">
        <w:rPr>
          <w:rFonts w:eastAsia="Calibri"/>
          <w:b/>
          <w:sz w:val="22"/>
          <w:szCs w:val="22"/>
          <w:highlight w:val="lightGray"/>
          <w:lang w:val="en-GB" w:eastAsia="en-US"/>
        </w:rPr>
        <w:t>External action p</w:t>
      </w:r>
      <w:r w:rsidR="004D7EFA" w:rsidRPr="00393CF8">
        <w:rPr>
          <w:rFonts w:eastAsia="Calibri"/>
          <w:b/>
          <w:sz w:val="22"/>
          <w:szCs w:val="22"/>
          <w:highlight w:val="lightGray"/>
          <w:lang w:val="en-GB" w:eastAsia="en-US"/>
        </w:rPr>
        <w:t xml:space="preserve">rocurement and grant award procedures, </w:t>
      </w:r>
      <w:proofErr w:type="gramStart"/>
      <w:r w:rsidR="004D7EFA" w:rsidRPr="00393CF8">
        <w:rPr>
          <w:rFonts w:eastAsia="Calibri"/>
          <w:b/>
          <w:sz w:val="22"/>
          <w:szCs w:val="22"/>
          <w:highlight w:val="lightGray"/>
          <w:lang w:val="en-GB" w:eastAsia="en-US"/>
        </w:rPr>
        <w:t>contract</w:t>
      </w:r>
      <w:proofErr w:type="gramEnd"/>
      <w:r w:rsidR="004D7EFA" w:rsidRPr="00393CF8">
        <w:rPr>
          <w:rFonts w:eastAsia="Calibri"/>
          <w:b/>
          <w:sz w:val="22"/>
          <w:szCs w:val="22"/>
          <w:highlight w:val="lightGray"/>
          <w:lang w:val="en-GB" w:eastAsia="en-US"/>
        </w:rPr>
        <w:t xml:space="preserve"> execution and grant implementation under direct management, indirect management by partner</w:t>
      </w:r>
      <w:r w:rsidR="00BA3926" w:rsidRPr="00393CF8">
        <w:rPr>
          <w:rFonts w:eastAsia="Calibri"/>
          <w:b/>
          <w:sz w:val="22"/>
          <w:szCs w:val="22"/>
          <w:highlight w:val="lightGray"/>
          <w:lang w:val="en-GB" w:eastAsia="en-US"/>
        </w:rPr>
        <w:t xml:space="preserve"> countries</w:t>
      </w:r>
      <w:r w:rsidR="00BA3926" w:rsidRPr="00393CF8">
        <w:rPr>
          <w:rFonts w:eastAsia="Calibri"/>
          <w:highlight w:val="lightGray"/>
        </w:rPr>
        <w:footnoteReference w:id="1"/>
      </w:r>
      <w:r w:rsidR="00BA3926" w:rsidRPr="00393CF8">
        <w:rPr>
          <w:rFonts w:eastAsia="Calibri"/>
          <w:b/>
          <w:sz w:val="22"/>
          <w:szCs w:val="22"/>
          <w:highlight w:val="lightGray"/>
          <w:lang w:val="en-GB" w:eastAsia="en-US"/>
        </w:rPr>
        <w:t xml:space="preserve"> </w:t>
      </w:r>
      <w:r w:rsidR="004D7EFA" w:rsidRPr="00393CF8">
        <w:rPr>
          <w:rFonts w:eastAsia="Calibri"/>
          <w:b/>
          <w:sz w:val="22"/>
          <w:szCs w:val="22"/>
          <w:highlight w:val="lightGray"/>
          <w:lang w:val="en-GB" w:eastAsia="en-US"/>
        </w:rPr>
        <w:t xml:space="preserve">and </w:t>
      </w:r>
      <w:r w:rsidR="00BA3926" w:rsidRPr="00393CF8">
        <w:rPr>
          <w:rFonts w:eastAsia="Calibri"/>
          <w:b/>
          <w:sz w:val="22"/>
          <w:szCs w:val="22"/>
          <w:highlight w:val="lightGray"/>
          <w:lang w:val="en-GB" w:eastAsia="en-US"/>
        </w:rPr>
        <w:t xml:space="preserve">under </w:t>
      </w:r>
      <w:r w:rsidR="004D7EFA" w:rsidRPr="00393CF8">
        <w:rPr>
          <w:rFonts w:eastAsia="Calibri"/>
          <w:b/>
          <w:sz w:val="22"/>
          <w:szCs w:val="22"/>
          <w:highlight w:val="lightGray"/>
          <w:lang w:val="en-GB" w:eastAsia="en-US"/>
        </w:rPr>
        <w:t>shared management</w:t>
      </w:r>
      <w:r w:rsidR="00BE4F18">
        <w:rPr>
          <w:rStyle w:val="FootnoteReference"/>
          <w:rFonts w:eastAsia="Calibri"/>
          <w:b/>
          <w:sz w:val="22"/>
          <w:szCs w:val="22"/>
          <w:highlight w:val="lightGray"/>
          <w:lang w:val="en-GB" w:eastAsia="en-US"/>
        </w:rPr>
        <w:footnoteReference w:id="2"/>
      </w:r>
      <w:r w:rsidR="004D7EFA" w:rsidRPr="00393CF8">
        <w:rPr>
          <w:rFonts w:eastAsia="Calibri"/>
          <w:b/>
          <w:sz w:val="22"/>
          <w:szCs w:val="22"/>
          <w:highlight w:val="lightGray"/>
          <w:lang w:val="en-GB" w:eastAsia="en-US"/>
        </w:rPr>
        <w:t xml:space="preserve"> with Member States (cross-border cooperation)</w:t>
      </w:r>
      <w:r w:rsidR="00393CF8">
        <w:rPr>
          <w:rFonts w:eastAsia="Calibri"/>
          <w:b/>
          <w:sz w:val="22"/>
          <w:szCs w:val="22"/>
          <w:lang w:val="en-GB" w:eastAsia="en-US"/>
        </w:rPr>
        <w:t>]</w:t>
      </w:r>
    </w:p>
    <w:p w14:paraId="133D0894" w14:textId="7C109999" w:rsidR="0003020D" w:rsidRPr="00637256" w:rsidRDefault="0003020D" w:rsidP="00C43897">
      <w:pPr>
        <w:spacing w:after="320"/>
        <w:rPr>
          <w:rFonts w:eastAsia="Calibri"/>
          <w:b/>
          <w:sz w:val="22"/>
          <w:szCs w:val="22"/>
          <w:lang w:val="en-IE" w:eastAsia="en-US"/>
        </w:rPr>
      </w:pPr>
      <w:r w:rsidRPr="00393CF8">
        <w:rPr>
          <w:b/>
          <w:sz w:val="22"/>
          <w:szCs w:val="22"/>
          <w:highlight w:val="yellow"/>
          <w:lang w:val="en-IE"/>
        </w:rPr>
        <w:t>For FPI</w:t>
      </w:r>
      <w:r w:rsidRPr="00637256">
        <w:rPr>
          <w:b/>
          <w:sz w:val="22"/>
          <w:szCs w:val="22"/>
          <w:lang w:val="en-IE"/>
        </w:rPr>
        <w:t xml:space="preserve">: </w:t>
      </w:r>
      <w:r w:rsidR="00393CF8">
        <w:rPr>
          <w:b/>
          <w:sz w:val="22"/>
          <w:szCs w:val="22"/>
          <w:lang w:val="en-IE"/>
        </w:rPr>
        <w:t>[</w:t>
      </w:r>
      <w:r w:rsidRPr="00393CF8">
        <w:rPr>
          <w:b/>
          <w:sz w:val="22"/>
          <w:szCs w:val="22"/>
          <w:highlight w:val="lightGray"/>
          <w:lang w:val="en-IE"/>
        </w:rPr>
        <w:t>FPI procurement and grant award procedures, contract execution and grant implementation under direct management on contract procedures for European Union external action</w:t>
      </w:r>
      <w:r w:rsidR="00393CF8">
        <w:rPr>
          <w:b/>
          <w:sz w:val="22"/>
          <w:szCs w:val="22"/>
          <w:lang w:val="en-IE"/>
        </w:rPr>
        <w:t>]</w:t>
      </w:r>
    </w:p>
    <w:p w14:paraId="277EC74C" w14:textId="63D45AFE" w:rsidR="00F376B4" w:rsidRPr="00637256" w:rsidRDefault="006B6CEE" w:rsidP="00F376B4">
      <w:pPr>
        <w:pStyle w:val="BodyText2"/>
        <w:tabs>
          <w:tab w:val="left" w:pos="0"/>
          <w:tab w:val="left" w:pos="630"/>
        </w:tabs>
        <w:spacing w:before="120" w:after="120"/>
        <w:rPr>
          <w:sz w:val="22"/>
          <w:szCs w:val="22"/>
        </w:rPr>
      </w:pPr>
      <w:r w:rsidRPr="00637256">
        <w:rPr>
          <w:rFonts w:eastAsia="Calibri"/>
          <w:b/>
          <w:sz w:val="22"/>
          <w:szCs w:val="22"/>
          <w:lang w:eastAsia="en-US"/>
        </w:rPr>
        <w:t>Data Controller:</w:t>
      </w:r>
      <w:r w:rsidRPr="00637256">
        <w:rPr>
          <w:rFonts w:eastAsia="Calibri"/>
          <w:b/>
          <w:i/>
          <w:color w:val="FF0000"/>
          <w:sz w:val="22"/>
          <w:szCs w:val="22"/>
          <w:lang w:eastAsia="en-US"/>
        </w:rPr>
        <w:t xml:space="preserve"> </w:t>
      </w:r>
      <w:r w:rsidR="00F376B4" w:rsidRPr="00393CF8">
        <w:rPr>
          <w:sz w:val="22"/>
          <w:szCs w:val="22"/>
          <w:highlight w:val="yellow"/>
        </w:rPr>
        <w:t xml:space="preserve">For DG </w:t>
      </w:r>
      <w:r w:rsidR="00B63152" w:rsidRPr="00393CF8">
        <w:rPr>
          <w:sz w:val="22"/>
          <w:szCs w:val="22"/>
          <w:highlight w:val="yellow"/>
        </w:rPr>
        <w:t>INTPA</w:t>
      </w:r>
      <w:r w:rsidR="003E480E" w:rsidRPr="00637256">
        <w:rPr>
          <w:sz w:val="22"/>
          <w:szCs w:val="22"/>
        </w:rPr>
        <w:t xml:space="preserve">: </w:t>
      </w:r>
      <w:r w:rsidR="00393CF8">
        <w:rPr>
          <w:sz w:val="22"/>
          <w:szCs w:val="22"/>
        </w:rPr>
        <w:t>[</w:t>
      </w:r>
      <w:r w:rsidR="00F376B4" w:rsidRPr="00393CF8">
        <w:rPr>
          <w:sz w:val="22"/>
          <w:szCs w:val="22"/>
          <w:highlight w:val="lightGray"/>
        </w:rPr>
        <w:t xml:space="preserve">Directorate-General for </w:t>
      </w:r>
      <w:r w:rsidR="00B63152" w:rsidRPr="00393CF8">
        <w:rPr>
          <w:sz w:val="22"/>
          <w:szCs w:val="22"/>
          <w:highlight w:val="lightGray"/>
        </w:rPr>
        <w:t>International Partnerships</w:t>
      </w:r>
      <w:r w:rsidR="00767A00" w:rsidRPr="00393CF8">
        <w:rPr>
          <w:sz w:val="22"/>
          <w:szCs w:val="22"/>
          <w:highlight w:val="lightGray"/>
        </w:rPr>
        <w:t xml:space="preserve"> (</w:t>
      </w:r>
      <w:r w:rsidR="00932DD9" w:rsidRPr="00393CF8">
        <w:rPr>
          <w:rFonts w:eastAsia="Calibri"/>
          <w:sz w:val="22"/>
          <w:szCs w:val="22"/>
          <w:highlight w:val="lightGray"/>
          <w:lang w:eastAsia="en-US"/>
        </w:rPr>
        <w:t>hereafter</w:t>
      </w:r>
      <w:r w:rsidR="00932DD9" w:rsidRPr="00393CF8">
        <w:rPr>
          <w:sz w:val="22"/>
          <w:szCs w:val="22"/>
          <w:highlight w:val="lightGray"/>
        </w:rPr>
        <w:t xml:space="preserve"> ‘</w:t>
      </w:r>
      <w:r w:rsidR="00767A00" w:rsidRPr="00393CF8">
        <w:rPr>
          <w:sz w:val="22"/>
          <w:szCs w:val="22"/>
          <w:highlight w:val="lightGray"/>
        </w:rPr>
        <w:t>DG INTPA</w:t>
      </w:r>
      <w:r w:rsidR="00932DD9" w:rsidRPr="00393CF8">
        <w:rPr>
          <w:sz w:val="22"/>
          <w:szCs w:val="22"/>
          <w:highlight w:val="lightGray"/>
        </w:rPr>
        <w:t>’</w:t>
      </w:r>
      <w:r w:rsidR="00767A00" w:rsidRPr="00393CF8">
        <w:rPr>
          <w:sz w:val="22"/>
          <w:szCs w:val="22"/>
          <w:highlight w:val="lightGray"/>
        </w:rPr>
        <w:t>)</w:t>
      </w:r>
      <w:r w:rsidR="00B63152" w:rsidRPr="00393CF8">
        <w:rPr>
          <w:sz w:val="22"/>
          <w:szCs w:val="22"/>
          <w:highlight w:val="lightGray"/>
        </w:rPr>
        <w:t xml:space="preserve">, </w:t>
      </w:r>
      <w:r w:rsidR="00F376B4" w:rsidRPr="00393CF8">
        <w:rPr>
          <w:sz w:val="22"/>
          <w:szCs w:val="22"/>
          <w:highlight w:val="lightGray"/>
        </w:rPr>
        <w:t>Legal Affairs Unit (</w:t>
      </w:r>
      <w:r w:rsidR="00B63152" w:rsidRPr="00393CF8">
        <w:rPr>
          <w:sz w:val="22"/>
          <w:szCs w:val="22"/>
          <w:highlight w:val="lightGray"/>
        </w:rPr>
        <w:t>INTPA</w:t>
      </w:r>
      <w:r w:rsidR="00F376B4" w:rsidRPr="00393CF8">
        <w:rPr>
          <w:sz w:val="22"/>
          <w:szCs w:val="22"/>
          <w:highlight w:val="lightGray"/>
        </w:rPr>
        <w:t>.R</w:t>
      </w:r>
      <w:r w:rsidR="00B63152" w:rsidRPr="00393CF8">
        <w:rPr>
          <w:sz w:val="22"/>
          <w:szCs w:val="22"/>
          <w:highlight w:val="lightGray"/>
        </w:rPr>
        <w:t>4</w:t>
      </w:r>
      <w:r w:rsidR="00F376B4" w:rsidRPr="00393CF8">
        <w:rPr>
          <w:sz w:val="22"/>
          <w:szCs w:val="22"/>
          <w:highlight w:val="lightGray"/>
        </w:rPr>
        <w:t>)</w:t>
      </w:r>
      <w:r w:rsidR="00393CF8" w:rsidRPr="00393CF8">
        <w:rPr>
          <w:sz w:val="22"/>
          <w:szCs w:val="22"/>
          <w:highlight w:val="lightGray"/>
        </w:rPr>
        <w:t>]</w:t>
      </w:r>
    </w:p>
    <w:p w14:paraId="45B0648F" w14:textId="4BF9F574" w:rsidR="00F376B4" w:rsidRPr="00637256" w:rsidRDefault="00F376B4" w:rsidP="00F376B4">
      <w:pPr>
        <w:rPr>
          <w:sz w:val="22"/>
          <w:szCs w:val="22"/>
          <w:lang w:val="en-GB"/>
        </w:rPr>
      </w:pPr>
      <w:r w:rsidRPr="00393CF8">
        <w:rPr>
          <w:sz w:val="22"/>
          <w:szCs w:val="22"/>
          <w:highlight w:val="yellow"/>
          <w:lang w:val="en-GB"/>
        </w:rPr>
        <w:t>For DG NEAR</w:t>
      </w:r>
      <w:r w:rsidR="003E480E" w:rsidRPr="00393CF8">
        <w:rPr>
          <w:sz w:val="22"/>
          <w:szCs w:val="22"/>
          <w:highlight w:val="yellow"/>
          <w:lang w:val="en-GB"/>
        </w:rPr>
        <w:t>:</w:t>
      </w:r>
      <w:r w:rsidR="003E480E" w:rsidRPr="00637256">
        <w:rPr>
          <w:sz w:val="22"/>
          <w:szCs w:val="22"/>
          <w:lang w:val="en-GB"/>
        </w:rPr>
        <w:t xml:space="preserve"> </w:t>
      </w:r>
      <w:r w:rsidR="00393CF8">
        <w:rPr>
          <w:sz w:val="22"/>
          <w:szCs w:val="22"/>
          <w:lang w:val="en-GB"/>
        </w:rPr>
        <w:t>[</w:t>
      </w:r>
      <w:r w:rsidRPr="00393CF8">
        <w:rPr>
          <w:sz w:val="22"/>
          <w:szCs w:val="22"/>
          <w:highlight w:val="lightGray"/>
          <w:lang w:val="en-GB"/>
        </w:rPr>
        <w:t xml:space="preserve">Directorate-General for Neighbourhood and Enlargement Negotiations </w:t>
      </w:r>
      <w:r w:rsidR="00767A00" w:rsidRPr="00393CF8">
        <w:rPr>
          <w:sz w:val="22"/>
          <w:szCs w:val="22"/>
          <w:highlight w:val="lightGray"/>
          <w:lang w:val="en-GB"/>
        </w:rPr>
        <w:t>(</w:t>
      </w:r>
      <w:r w:rsidR="00932DD9" w:rsidRPr="00393CF8">
        <w:rPr>
          <w:rFonts w:eastAsia="Calibri"/>
          <w:sz w:val="22"/>
          <w:szCs w:val="22"/>
          <w:highlight w:val="lightGray"/>
          <w:lang w:val="en-GB" w:eastAsia="en-US"/>
        </w:rPr>
        <w:t>hereafter</w:t>
      </w:r>
      <w:r w:rsidR="00932DD9" w:rsidRPr="00393CF8">
        <w:rPr>
          <w:sz w:val="22"/>
          <w:szCs w:val="22"/>
          <w:highlight w:val="lightGray"/>
          <w:lang w:val="en-GB"/>
        </w:rPr>
        <w:t xml:space="preserve"> ‘DG</w:t>
      </w:r>
      <w:r w:rsidR="00767A00" w:rsidRPr="00393CF8">
        <w:rPr>
          <w:sz w:val="22"/>
          <w:szCs w:val="22"/>
          <w:highlight w:val="lightGray"/>
          <w:lang w:val="en-GB"/>
        </w:rPr>
        <w:t xml:space="preserve"> NEAR</w:t>
      </w:r>
      <w:r w:rsidR="00932DD9" w:rsidRPr="00393CF8">
        <w:rPr>
          <w:sz w:val="22"/>
          <w:szCs w:val="22"/>
          <w:highlight w:val="lightGray"/>
          <w:lang w:val="en-GB"/>
        </w:rPr>
        <w:t>’</w:t>
      </w:r>
      <w:r w:rsidR="00767A00" w:rsidRPr="00393CF8">
        <w:rPr>
          <w:sz w:val="22"/>
          <w:szCs w:val="22"/>
          <w:highlight w:val="lightGray"/>
          <w:lang w:val="en-GB"/>
        </w:rPr>
        <w:t xml:space="preserve">), </w:t>
      </w:r>
      <w:r w:rsidRPr="00393CF8">
        <w:rPr>
          <w:sz w:val="22"/>
          <w:szCs w:val="22"/>
          <w:highlight w:val="lightGray"/>
          <w:lang w:val="en-GB"/>
        </w:rPr>
        <w:t>Contracts and Finance Unit (NEAR.R4)</w:t>
      </w:r>
      <w:r w:rsidR="00393CF8">
        <w:rPr>
          <w:sz w:val="22"/>
          <w:szCs w:val="22"/>
          <w:lang w:val="en-GB"/>
        </w:rPr>
        <w:t>]</w:t>
      </w:r>
    </w:p>
    <w:p w14:paraId="1B0E9366" w14:textId="62C03795" w:rsidR="0003020D" w:rsidRPr="00637256" w:rsidRDefault="0003020D" w:rsidP="00C43897">
      <w:pPr>
        <w:spacing w:after="320"/>
        <w:rPr>
          <w:sz w:val="22"/>
          <w:szCs w:val="22"/>
          <w:lang w:val="en-GB"/>
        </w:rPr>
      </w:pPr>
      <w:r w:rsidRPr="00393CF8">
        <w:rPr>
          <w:sz w:val="22"/>
          <w:szCs w:val="22"/>
          <w:highlight w:val="yellow"/>
          <w:lang w:val="en-GB"/>
        </w:rPr>
        <w:t>For FPI</w:t>
      </w:r>
      <w:r w:rsidRPr="00637256">
        <w:rPr>
          <w:sz w:val="22"/>
          <w:szCs w:val="22"/>
          <w:lang w:val="en-GB"/>
        </w:rPr>
        <w:t xml:space="preserve">: </w:t>
      </w:r>
      <w:r w:rsidR="00393CF8">
        <w:rPr>
          <w:sz w:val="22"/>
          <w:szCs w:val="22"/>
          <w:lang w:val="en-GB"/>
        </w:rPr>
        <w:t>[</w:t>
      </w:r>
      <w:r w:rsidRPr="00393CF8">
        <w:rPr>
          <w:sz w:val="22"/>
          <w:szCs w:val="22"/>
          <w:highlight w:val="lightGray"/>
          <w:lang w:val="en-GB"/>
        </w:rPr>
        <w:t>Service for Foreign Policy Instruments</w:t>
      </w:r>
      <w:r w:rsidR="00767A00" w:rsidRPr="00393CF8">
        <w:rPr>
          <w:sz w:val="22"/>
          <w:szCs w:val="22"/>
          <w:highlight w:val="lightGray"/>
          <w:lang w:val="en-GB"/>
        </w:rPr>
        <w:t xml:space="preserve"> (</w:t>
      </w:r>
      <w:r w:rsidR="00932DD9" w:rsidRPr="00393CF8">
        <w:rPr>
          <w:sz w:val="22"/>
          <w:szCs w:val="22"/>
          <w:highlight w:val="lightGray"/>
          <w:lang w:val="en-GB"/>
        </w:rPr>
        <w:t>hereafter ‘</w:t>
      </w:r>
      <w:r w:rsidR="00767A00" w:rsidRPr="00393CF8">
        <w:rPr>
          <w:sz w:val="22"/>
          <w:szCs w:val="22"/>
          <w:highlight w:val="lightGray"/>
          <w:lang w:val="en-GB"/>
        </w:rPr>
        <w:t>FP</w:t>
      </w:r>
      <w:r w:rsidR="00932DD9" w:rsidRPr="00393CF8">
        <w:rPr>
          <w:sz w:val="22"/>
          <w:szCs w:val="22"/>
          <w:highlight w:val="lightGray"/>
          <w:lang w:val="en-GB"/>
        </w:rPr>
        <w:t>I’)</w:t>
      </w:r>
      <w:r w:rsidRPr="00393CF8">
        <w:rPr>
          <w:sz w:val="22"/>
          <w:szCs w:val="22"/>
          <w:highlight w:val="lightGray"/>
          <w:lang w:val="en-GB"/>
        </w:rPr>
        <w:t>, Budget, Finance and Relations with other Institutions Unit (FPI.1)</w:t>
      </w:r>
      <w:r w:rsidR="00393CF8">
        <w:rPr>
          <w:sz w:val="22"/>
          <w:szCs w:val="22"/>
          <w:lang w:val="en-GB"/>
        </w:rPr>
        <w:t>]</w:t>
      </w:r>
    </w:p>
    <w:p w14:paraId="1939748B" w14:textId="571AD347" w:rsidR="006B6CEE" w:rsidRPr="00637256" w:rsidRDefault="006B6CEE" w:rsidP="006B6CEE">
      <w:pPr>
        <w:rPr>
          <w:sz w:val="22"/>
          <w:szCs w:val="22"/>
          <w:lang w:val="en-GB"/>
        </w:rPr>
      </w:pPr>
      <w:r w:rsidRPr="00637256">
        <w:rPr>
          <w:rFonts w:eastAsia="Calibri"/>
          <w:b/>
          <w:sz w:val="22"/>
          <w:szCs w:val="22"/>
          <w:lang w:val="en-GB" w:eastAsia="en-US"/>
        </w:rPr>
        <w:t xml:space="preserve">Record reference: </w:t>
      </w:r>
      <w:r w:rsidR="00F376B4" w:rsidRPr="00393CF8">
        <w:rPr>
          <w:sz w:val="22"/>
          <w:szCs w:val="22"/>
          <w:highlight w:val="yellow"/>
          <w:lang w:val="en-GB"/>
        </w:rPr>
        <w:t xml:space="preserve">For DG </w:t>
      </w:r>
      <w:r w:rsidR="00B63152" w:rsidRPr="00393CF8">
        <w:rPr>
          <w:sz w:val="22"/>
          <w:szCs w:val="22"/>
          <w:highlight w:val="yellow"/>
          <w:lang w:val="en-GB"/>
        </w:rPr>
        <w:t>INTPA</w:t>
      </w:r>
      <w:r w:rsidR="00F376B4" w:rsidRPr="00637256">
        <w:rPr>
          <w:sz w:val="22"/>
          <w:szCs w:val="22"/>
          <w:lang w:val="en-GB"/>
        </w:rPr>
        <w:t xml:space="preserve"> </w:t>
      </w:r>
      <w:r w:rsidR="00F376B4" w:rsidRPr="00637256">
        <w:rPr>
          <w:rFonts w:eastAsia="Calibri"/>
          <w:sz w:val="22"/>
          <w:szCs w:val="22"/>
          <w:lang w:val="en-GB" w:eastAsia="en-US"/>
        </w:rPr>
        <w:t>[</w:t>
      </w:r>
      <w:r w:rsidRPr="00393CF8">
        <w:rPr>
          <w:rFonts w:eastAsia="Calibri"/>
          <w:sz w:val="22"/>
          <w:szCs w:val="22"/>
          <w:highlight w:val="lightGray"/>
          <w:lang w:val="en-GB" w:eastAsia="en-US"/>
        </w:rPr>
        <w:t>DPR-EC-01566</w:t>
      </w:r>
      <w:r w:rsidR="00F376B4" w:rsidRPr="00637256">
        <w:rPr>
          <w:rFonts w:eastAsia="Calibri"/>
          <w:sz w:val="22"/>
          <w:szCs w:val="22"/>
          <w:lang w:val="en-GB" w:eastAsia="en-US"/>
        </w:rPr>
        <w:t>]</w:t>
      </w:r>
      <w:r w:rsidR="00F376B4" w:rsidRPr="00637256">
        <w:rPr>
          <w:rFonts w:eastAsia="Calibri"/>
          <w:i/>
          <w:sz w:val="22"/>
          <w:szCs w:val="22"/>
          <w:lang w:val="en-GB" w:eastAsia="en-US"/>
        </w:rPr>
        <w:t xml:space="preserve"> </w:t>
      </w:r>
      <w:r w:rsidR="00F376B4" w:rsidRPr="00393CF8">
        <w:rPr>
          <w:sz w:val="22"/>
          <w:szCs w:val="22"/>
          <w:highlight w:val="yellow"/>
          <w:lang w:val="en-GB"/>
        </w:rPr>
        <w:t>For DG NEAR</w:t>
      </w:r>
      <w:r w:rsidR="00F376B4" w:rsidRPr="00637256">
        <w:rPr>
          <w:sz w:val="22"/>
          <w:szCs w:val="22"/>
          <w:lang w:val="en-GB"/>
        </w:rPr>
        <w:t xml:space="preserve"> [</w:t>
      </w:r>
      <w:r w:rsidR="00F376B4" w:rsidRPr="00393CF8">
        <w:rPr>
          <w:sz w:val="22"/>
          <w:szCs w:val="22"/>
          <w:highlight w:val="lightGray"/>
          <w:lang w:val="en-GB"/>
        </w:rPr>
        <w:t>DPR-EC-</w:t>
      </w:r>
      <w:r w:rsidR="004D7EFA" w:rsidRPr="00393CF8">
        <w:rPr>
          <w:sz w:val="22"/>
          <w:szCs w:val="22"/>
          <w:highlight w:val="lightGray"/>
          <w:lang w:val="en-GB"/>
        </w:rPr>
        <w:t xml:space="preserve"> 01706</w:t>
      </w:r>
      <w:r w:rsidR="00F376B4" w:rsidRPr="00637256">
        <w:rPr>
          <w:sz w:val="22"/>
          <w:szCs w:val="22"/>
          <w:lang w:val="en-GB"/>
        </w:rPr>
        <w:t xml:space="preserve">] </w:t>
      </w:r>
      <w:r w:rsidR="0003020D" w:rsidRPr="00393CF8">
        <w:rPr>
          <w:sz w:val="22"/>
          <w:szCs w:val="22"/>
          <w:highlight w:val="yellow"/>
          <w:lang w:val="en-GB"/>
        </w:rPr>
        <w:t>For FPI</w:t>
      </w:r>
      <w:r w:rsidR="0003020D" w:rsidRPr="00637256">
        <w:rPr>
          <w:sz w:val="22"/>
          <w:szCs w:val="22"/>
          <w:lang w:val="en-GB"/>
        </w:rPr>
        <w:t xml:space="preserve"> [</w:t>
      </w:r>
      <w:r w:rsidR="0003020D" w:rsidRPr="00393CF8">
        <w:rPr>
          <w:sz w:val="22"/>
          <w:szCs w:val="22"/>
          <w:highlight w:val="lightGray"/>
          <w:lang w:val="en-IE"/>
        </w:rPr>
        <w:t>DPR-EC-04370</w:t>
      </w:r>
      <w:r w:rsidR="0003020D" w:rsidRPr="00637256">
        <w:rPr>
          <w:sz w:val="22"/>
          <w:szCs w:val="22"/>
          <w:lang w:val="en-IE"/>
        </w:rPr>
        <w:t>]</w:t>
      </w:r>
    </w:p>
    <w:p w14:paraId="46112ABA" w14:textId="77777777" w:rsidR="00172D8D" w:rsidRPr="00637256" w:rsidRDefault="00172D8D">
      <w:pPr>
        <w:spacing w:after="0"/>
        <w:jc w:val="left"/>
        <w:rPr>
          <w:rFonts w:eastAsia="Calibri"/>
          <w:b/>
          <w:sz w:val="22"/>
          <w:szCs w:val="22"/>
          <w:lang w:val="en-GB" w:eastAsia="en-US"/>
        </w:rPr>
      </w:pPr>
      <w:r w:rsidRPr="00637256">
        <w:rPr>
          <w:rFonts w:eastAsia="Calibri"/>
          <w:b/>
          <w:sz w:val="22"/>
          <w:szCs w:val="22"/>
          <w:lang w:val="en-GB" w:eastAsia="en-US"/>
        </w:rPr>
        <w:br w:type="page"/>
      </w:r>
    </w:p>
    <w:p w14:paraId="4C38ACB8" w14:textId="044AD670" w:rsidR="006B6CEE" w:rsidRPr="00637256" w:rsidRDefault="006B6CEE" w:rsidP="006B6CEE">
      <w:pPr>
        <w:rPr>
          <w:rFonts w:eastAsia="Calibri"/>
          <w:b/>
          <w:sz w:val="22"/>
          <w:szCs w:val="22"/>
          <w:lang w:val="en-GB" w:eastAsia="en-US"/>
        </w:rPr>
      </w:pPr>
      <w:r w:rsidRPr="00637256">
        <w:rPr>
          <w:rFonts w:eastAsia="Calibri"/>
          <w:b/>
          <w:sz w:val="22"/>
          <w:szCs w:val="22"/>
          <w:lang w:val="en-GB" w:eastAsia="en-US"/>
        </w:rPr>
        <w:lastRenderedPageBreak/>
        <w:t>Table of Contents</w:t>
      </w:r>
    </w:p>
    <w:p w14:paraId="3546FFD6" w14:textId="77777777" w:rsidR="006B6CEE" w:rsidRPr="00637256" w:rsidRDefault="006B6CEE" w:rsidP="006B6CEE">
      <w:pPr>
        <w:numPr>
          <w:ilvl w:val="0"/>
          <w:numId w:val="20"/>
        </w:numPr>
        <w:ind w:left="357" w:hanging="357"/>
        <w:rPr>
          <w:rFonts w:eastAsia="Calibri"/>
          <w:b/>
          <w:bCs/>
          <w:sz w:val="22"/>
          <w:szCs w:val="22"/>
          <w:lang w:val="en-GB" w:eastAsia="en-US"/>
        </w:rPr>
      </w:pPr>
      <w:r w:rsidRPr="00637256">
        <w:rPr>
          <w:rFonts w:eastAsia="Calibri"/>
          <w:b/>
          <w:bCs/>
          <w:sz w:val="22"/>
          <w:szCs w:val="22"/>
          <w:lang w:val="en-GB" w:eastAsia="en-US"/>
        </w:rPr>
        <w:t>Introduction</w:t>
      </w:r>
    </w:p>
    <w:p w14:paraId="7FD18B48" w14:textId="77777777" w:rsidR="006B6CEE" w:rsidRPr="00637256" w:rsidRDefault="006B6CEE" w:rsidP="006B6CEE">
      <w:pPr>
        <w:numPr>
          <w:ilvl w:val="0"/>
          <w:numId w:val="20"/>
        </w:numPr>
        <w:ind w:left="357" w:hanging="357"/>
        <w:rPr>
          <w:rFonts w:eastAsia="Calibri"/>
          <w:b/>
          <w:bCs/>
          <w:sz w:val="22"/>
          <w:szCs w:val="22"/>
          <w:lang w:val="en-GB" w:eastAsia="en-US"/>
        </w:rPr>
      </w:pPr>
      <w:r w:rsidRPr="00637256">
        <w:rPr>
          <w:rFonts w:eastAsia="Calibri"/>
          <w:b/>
          <w:bCs/>
          <w:sz w:val="22"/>
          <w:szCs w:val="22"/>
          <w:lang w:val="en-GB" w:eastAsia="en-US"/>
        </w:rPr>
        <w:t>Why and how do we process your personal data?</w:t>
      </w:r>
    </w:p>
    <w:p w14:paraId="24D9417E" w14:textId="77777777" w:rsidR="006B6CEE" w:rsidRPr="00637256" w:rsidRDefault="006B6CEE" w:rsidP="006B6CEE">
      <w:pPr>
        <w:numPr>
          <w:ilvl w:val="0"/>
          <w:numId w:val="20"/>
        </w:numPr>
        <w:ind w:left="357" w:hanging="357"/>
        <w:rPr>
          <w:rFonts w:eastAsia="Calibri"/>
          <w:b/>
          <w:bCs/>
          <w:sz w:val="22"/>
          <w:szCs w:val="22"/>
          <w:lang w:val="en-GB" w:eastAsia="en-US"/>
        </w:rPr>
      </w:pPr>
      <w:r w:rsidRPr="00637256">
        <w:rPr>
          <w:rFonts w:eastAsia="Calibri"/>
          <w:b/>
          <w:bCs/>
          <w:sz w:val="22"/>
          <w:szCs w:val="22"/>
          <w:lang w:val="en-GB" w:eastAsia="en-US"/>
        </w:rPr>
        <w:t>On what legal ground(s) do we process your personal data?</w:t>
      </w:r>
    </w:p>
    <w:p w14:paraId="3DB24DD3" w14:textId="77777777" w:rsidR="006B6CEE" w:rsidRPr="00637256" w:rsidRDefault="006B6CEE" w:rsidP="006B6CEE">
      <w:pPr>
        <w:numPr>
          <w:ilvl w:val="0"/>
          <w:numId w:val="20"/>
        </w:numPr>
        <w:ind w:left="357" w:hanging="357"/>
        <w:rPr>
          <w:rFonts w:eastAsia="Calibri"/>
          <w:b/>
          <w:bCs/>
          <w:sz w:val="22"/>
          <w:szCs w:val="22"/>
          <w:lang w:val="en-GB" w:eastAsia="en-US"/>
        </w:rPr>
      </w:pPr>
      <w:r w:rsidRPr="00637256">
        <w:rPr>
          <w:rFonts w:eastAsia="Calibri"/>
          <w:b/>
          <w:bCs/>
          <w:sz w:val="22"/>
          <w:szCs w:val="22"/>
          <w:lang w:val="en-GB" w:eastAsia="en-US"/>
        </w:rPr>
        <w:t>Which personal data do we collect and further process?</w:t>
      </w:r>
    </w:p>
    <w:p w14:paraId="7C606354" w14:textId="77777777" w:rsidR="006B6CEE" w:rsidRPr="00637256" w:rsidRDefault="006B6CEE" w:rsidP="006B6CEE">
      <w:pPr>
        <w:numPr>
          <w:ilvl w:val="0"/>
          <w:numId w:val="20"/>
        </w:numPr>
        <w:ind w:left="357" w:hanging="357"/>
        <w:rPr>
          <w:rFonts w:eastAsia="Calibri"/>
          <w:b/>
          <w:bCs/>
          <w:sz w:val="22"/>
          <w:szCs w:val="22"/>
          <w:lang w:val="en-GB" w:eastAsia="en-US"/>
        </w:rPr>
      </w:pPr>
      <w:r w:rsidRPr="00637256">
        <w:rPr>
          <w:rFonts w:eastAsia="Calibri"/>
          <w:b/>
          <w:bCs/>
          <w:sz w:val="22"/>
          <w:szCs w:val="22"/>
          <w:lang w:val="en-GB" w:eastAsia="en-US"/>
        </w:rPr>
        <w:t>How long do we keep your personal data?</w:t>
      </w:r>
    </w:p>
    <w:p w14:paraId="18CF78E4" w14:textId="77777777" w:rsidR="006B6CEE" w:rsidRPr="00637256" w:rsidRDefault="006B6CEE" w:rsidP="006B6CEE">
      <w:pPr>
        <w:numPr>
          <w:ilvl w:val="0"/>
          <w:numId w:val="20"/>
        </w:numPr>
        <w:rPr>
          <w:rFonts w:eastAsia="Calibri"/>
          <w:b/>
          <w:bCs/>
          <w:sz w:val="22"/>
          <w:szCs w:val="22"/>
          <w:lang w:val="en-GB" w:eastAsia="en-US"/>
        </w:rPr>
      </w:pPr>
      <w:r w:rsidRPr="00637256">
        <w:rPr>
          <w:rFonts w:eastAsia="Calibri"/>
          <w:b/>
          <w:bCs/>
          <w:sz w:val="22"/>
          <w:szCs w:val="22"/>
          <w:lang w:val="en-GB" w:eastAsia="en-US"/>
        </w:rPr>
        <w:t>How do we protect and safeguard your personal data?</w:t>
      </w:r>
    </w:p>
    <w:p w14:paraId="6A5D818A" w14:textId="77777777" w:rsidR="006B6CEE" w:rsidRPr="00637256" w:rsidRDefault="006B6CEE" w:rsidP="006B6CEE">
      <w:pPr>
        <w:numPr>
          <w:ilvl w:val="0"/>
          <w:numId w:val="20"/>
        </w:numPr>
        <w:rPr>
          <w:rFonts w:eastAsia="Calibri"/>
          <w:b/>
          <w:bCs/>
          <w:sz w:val="22"/>
          <w:szCs w:val="22"/>
          <w:lang w:val="en-GB" w:eastAsia="en-US"/>
        </w:rPr>
      </w:pPr>
      <w:r w:rsidRPr="00637256">
        <w:rPr>
          <w:rFonts w:eastAsia="Calibri"/>
          <w:b/>
          <w:bCs/>
          <w:sz w:val="22"/>
          <w:szCs w:val="22"/>
          <w:lang w:val="en-GB" w:eastAsia="en-US"/>
        </w:rPr>
        <w:t>Who has access to your personal data</w:t>
      </w:r>
      <w:r w:rsidRPr="00637256">
        <w:rPr>
          <w:rFonts w:eastAsia="Calibri"/>
          <w:sz w:val="22"/>
          <w:szCs w:val="22"/>
          <w:lang w:val="en-GB" w:eastAsia="en-US"/>
        </w:rPr>
        <w:t xml:space="preserve"> </w:t>
      </w:r>
      <w:r w:rsidRPr="00637256">
        <w:rPr>
          <w:rFonts w:eastAsia="Calibri"/>
          <w:b/>
          <w:bCs/>
          <w:sz w:val="22"/>
          <w:szCs w:val="22"/>
          <w:lang w:val="en-GB" w:eastAsia="en-US"/>
        </w:rPr>
        <w:t>and to whom is it disclosed?</w:t>
      </w:r>
    </w:p>
    <w:p w14:paraId="203F8C9C" w14:textId="77777777" w:rsidR="006B6CEE" w:rsidRPr="00637256" w:rsidRDefault="006B6CEE" w:rsidP="006B6CEE">
      <w:pPr>
        <w:numPr>
          <w:ilvl w:val="0"/>
          <w:numId w:val="20"/>
        </w:numPr>
        <w:ind w:left="357" w:hanging="357"/>
        <w:rPr>
          <w:rFonts w:eastAsia="Calibri"/>
          <w:b/>
          <w:bCs/>
          <w:sz w:val="22"/>
          <w:szCs w:val="22"/>
          <w:lang w:val="en-GB" w:eastAsia="en-US"/>
        </w:rPr>
      </w:pPr>
      <w:r w:rsidRPr="00637256">
        <w:rPr>
          <w:rFonts w:eastAsia="Calibri"/>
          <w:b/>
          <w:bCs/>
          <w:sz w:val="22"/>
          <w:szCs w:val="22"/>
          <w:lang w:val="en-GB" w:eastAsia="en-US"/>
        </w:rPr>
        <w:t xml:space="preserve">What are your rights and how can you exercise them? </w:t>
      </w:r>
    </w:p>
    <w:p w14:paraId="410211B7" w14:textId="77777777" w:rsidR="006B6CEE" w:rsidRPr="00637256" w:rsidRDefault="006B6CEE" w:rsidP="006B6CEE">
      <w:pPr>
        <w:numPr>
          <w:ilvl w:val="0"/>
          <w:numId w:val="20"/>
        </w:numPr>
        <w:ind w:left="357" w:hanging="357"/>
        <w:rPr>
          <w:rFonts w:eastAsia="Calibri"/>
          <w:b/>
          <w:bCs/>
          <w:sz w:val="22"/>
          <w:szCs w:val="22"/>
          <w:lang w:val="en-GB" w:eastAsia="en-US"/>
        </w:rPr>
      </w:pPr>
      <w:r w:rsidRPr="00637256">
        <w:rPr>
          <w:rFonts w:eastAsia="Calibri"/>
          <w:b/>
          <w:bCs/>
          <w:sz w:val="22"/>
          <w:szCs w:val="22"/>
          <w:lang w:val="en-GB" w:eastAsia="en-US"/>
        </w:rPr>
        <w:t>Contact information</w:t>
      </w:r>
    </w:p>
    <w:p w14:paraId="076E798B" w14:textId="631BDC48" w:rsidR="006B6CEE" w:rsidRPr="00637256" w:rsidRDefault="006B6CEE" w:rsidP="00F376B4">
      <w:pPr>
        <w:numPr>
          <w:ilvl w:val="0"/>
          <w:numId w:val="20"/>
        </w:numPr>
        <w:ind w:left="357" w:hanging="357"/>
        <w:rPr>
          <w:rFonts w:eastAsia="Calibri"/>
          <w:b/>
          <w:sz w:val="22"/>
          <w:szCs w:val="22"/>
          <w:lang w:val="en-GB" w:eastAsia="en-US"/>
        </w:rPr>
      </w:pPr>
      <w:r w:rsidRPr="00637256">
        <w:rPr>
          <w:rFonts w:eastAsia="Calibri"/>
          <w:b/>
          <w:bCs/>
          <w:sz w:val="22"/>
          <w:szCs w:val="22"/>
          <w:lang w:val="en-GB" w:eastAsia="en-US"/>
        </w:rPr>
        <w:t xml:space="preserve">Where to find more detailed information? </w:t>
      </w:r>
    </w:p>
    <w:p w14:paraId="3EDE95C4" w14:textId="77777777" w:rsidR="00172D8D" w:rsidRPr="00637256" w:rsidRDefault="00172D8D" w:rsidP="00FC54AB">
      <w:pPr>
        <w:ind w:left="357"/>
        <w:rPr>
          <w:rFonts w:eastAsia="Calibri"/>
          <w:b/>
          <w:sz w:val="22"/>
          <w:szCs w:val="22"/>
          <w:lang w:val="en-GB" w:eastAsia="en-US"/>
        </w:rPr>
      </w:pPr>
    </w:p>
    <w:p w14:paraId="343977BA" w14:textId="77777777" w:rsidR="006B6CEE" w:rsidRPr="00637256" w:rsidRDefault="006B6CEE" w:rsidP="006B6CEE">
      <w:pPr>
        <w:numPr>
          <w:ilvl w:val="0"/>
          <w:numId w:val="21"/>
        </w:numPr>
        <w:spacing w:after="200"/>
        <w:rPr>
          <w:rFonts w:eastAsia="Calibri"/>
          <w:b/>
          <w:sz w:val="22"/>
          <w:szCs w:val="22"/>
          <w:u w:val="single"/>
          <w:lang w:val="en-GB" w:eastAsia="en-US"/>
        </w:rPr>
      </w:pPr>
      <w:r w:rsidRPr="00637256">
        <w:rPr>
          <w:rFonts w:eastAsia="Calibri"/>
          <w:b/>
          <w:sz w:val="22"/>
          <w:szCs w:val="22"/>
          <w:u w:val="single"/>
          <w:lang w:val="en-GB" w:eastAsia="en-US"/>
        </w:rPr>
        <w:t>Introduction</w:t>
      </w:r>
    </w:p>
    <w:p w14:paraId="1BB2F72F" w14:textId="77777777" w:rsidR="006B6CEE" w:rsidRPr="00637256" w:rsidRDefault="006B6CEE" w:rsidP="006B6CEE">
      <w:pPr>
        <w:rPr>
          <w:rFonts w:eastAsia="Calibri"/>
          <w:sz w:val="22"/>
          <w:szCs w:val="22"/>
          <w:lang w:val="en-GB" w:eastAsia="en-US"/>
        </w:rPr>
      </w:pPr>
      <w:r w:rsidRPr="00637256">
        <w:rPr>
          <w:rFonts w:eastAsia="Calibri"/>
          <w:sz w:val="22"/>
          <w:szCs w:val="22"/>
          <w:lang w:val="en-GB" w:eastAsia="en-US"/>
        </w:rPr>
        <w:t xml:space="preserve">The European Commission (hereafter ‘the Commission’) is committed to protect your personal data and to respect your privacy. The Commission collects and further processes personal data pursuant to </w:t>
      </w:r>
      <w:hyperlink r:id="rId15" w:history="1">
        <w:r w:rsidRPr="0008433E">
          <w:rPr>
            <w:rStyle w:val="Hyperlink"/>
            <w:rFonts w:eastAsia="Calibri"/>
            <w:sz w:val="22"/>
            <w:szCs w:val="22"/>
            <w:lang w:val="en-GB" w:eastAsia="en-US"/>
          </w:rPr>
          <w:t>Regulation (EU) 2018/1725</w:t>
        </w:r>
      </w:hyperlink>
      <w:r w:rsidRPr="00637256">
        <w:rPr>
          <w:rFonts w:eastAsia="Calibri"/>
          <w:sz w:val="22"/>
          <w:szCs w:val="22"/>
          <w:lang w:val="en-GB" w:eastAsia="en-US"/>
        </w:rPr>
        <w:t xml:space="preserve"> of the European Parliament and of the Council of 23 October 2018 on the protection of natural persons with regard to the processing of personal data by the Union institutions, bodies, offices and agencies and on the free movement of such data (repealing Regulation (EC) No 45/2001).</w:t>
      </w:r>
    </w:p>
    <w:p w14:paraId="3BC18D08" w14:textId="77777777" w:rsidR="006B6CEE" w:rsidRPr="00637256" w:rsidRDefault="006B6CEE" w:rsidP="006B6CEE">
      <w:pPr>
        <w:rPr>
          <w:rFonts w:eastAsia="Calibri"/>
          <w:sz w:val="22"/>
          <w:szCs w:val="22"/>
          <w:lang w:val="en-GB" w:eastAsia="en-US"/>
        </w:rPr>
      </w:pPr>
      <w:r w:rsidRPr="00637256">
        <w:rPr>
          <w:rFonts w:eastAsia="Calibri"/>
          <w:sz w:val="22"/>
          <w:szCs w:val="22"/>
          <w:lang w:val="en-GB" w:eastAsia="en-US"/>
        </w:rPr>
        <w:t>This privacy statement explains the reason for the processing of your personal data, the way we collect, handle and ensure protection of all personal data provided, how that information is used and what rights you have in relation to your personal data. It also specifies the contact details of the responsible Data Controller with whom you may exercise your rights, the Data Protection Officer and the European Data Protection Supervisor.</w:t>
      </w:r>
    </w:p>
    <w:p w14:paraId="0B4C4646" w14:textId="1D7795E4" w:rsidR="003E480E" w:rsidRPr="00637256" w:rsidRDefault="006B6CEE" w:rsidP="006C4BD2">
      <w:pPr>
        <w:pStyle w:val="BodyText2"/>
        <w:tabs>
          <w:tab w:val="left" w:pos="0"/>
          <w:tab w:val="left" w:pos="630"/>
        </w:tabs>
        <w:spacing w:before="120" w:after="120"/>
        <w:rPr>
          <w:rFonts w:eastAsia="Calibri"/>
          <w:i/>
          <w:sz w:val="22"/>
          <w:szCs w:val="22"/>
          <w:lang w:eastAsia="en-US"/>
        </w:rPr>
      </w:pPr>
      <w:r w:rsidRPr="00637256">
        <w:rPr>
          <w:rFonts w:eastAsia="Calibri"/>
          <w:sz w:val="22"/>
          <w:szCs w:val="22"/>
          <w:lang w:eastAsia="en-US"/>
        </w:rPr>
        <w:t>The information in relation to processing operation</w:t>
      </w:r>
      <w:r w:rsidRPr="00637256">
        <w:rPr>
          <w:rFonts w:eastAsia="Calibri"/>
          <w:i/>
          <w:sz w:val="22"/>
          <w:szCs w:val="22"/>
          <w:lang w:eastAsia="en-US"/>
        </w:rPr>
        <w:t xml:space="preserve"> </w:t>
      </w:r>
    </w:p>
    <w:p w14:paraId="0830A128" w14:textId="0547487C" w:rsidR="003E480E" w:rsidRPr="00637256" w:rsidRDefault="00F376B4" w:rsidP="006C4BD2">
      <w:pPr>
        <w:pStyle w:val="BodyText2"/>
        <w:tabs>
          <w:tab w:val="left" w:pos="0"/>
          <w:tab w:val="left" w:pos="630"/>
        </w:tabs>
        <w:spacing w:before="120" w:after="120"/>
        <w:rPr>
          <w:sz w:val="22"/>
          <w:szCs w:val="22"/>
        </w:rPr>
      </w:pPr>
      <w:r w:rsidRPr="00393CF8">
        <w:rPr>
          <w:rFonts w:eastAsia="Calibri"/>
          <w:sz w:val="22"/>
          <w:szCs w:val="22"/>
          <w:highlight w:val="yellow"/>
          <w:lang w:eastAsia="en-US"/>
        </w:rPr>
        <w:t xml:space="preserve">For DG </w:t>
      </w:r>
      <w:r w:rsidR="00B63152" w:rsidRPr="00393CF8">
        <w:rPr>
          <w:rFonts w:eastAsia="Calibri"/>
          <w:sz w:val="22"/>
          <w:szCs w:val="22"/>
          <w:highlight w:val="yellow"/>
          <w:lang w:eastAsia="en-US"/>
        </w:rPr>
        <w:t>INTPA</w:t>
      </w:r>
      <w:r w:rsidR="003E480E" w:rsidRPr="00637256">
        <w:rPr>
          <w:rFonts w:eastAsia="Calibri"/>
          <w:sz w:val="22"/>
          <w:szCs w:val="22"/>
          <w:lang w:eastAsia="en-US"/>
        </w:rPr>
        <w:t xml:space="preserve">: </w:t>
      </w:r>
      <w:r w:rsidR="00393CF8">
        <w:rPr>
          <w:rFonts w:eastAsia="Calibri"/>
          <w:sz w:val="22"/>
          <w:szCs w:val="22"/>
          <w:lang w:eastAsia="en-US"/>
        </w:rPr>
        <w:t>[</w:t>
      </w:r>
      <w:r w:rsidRPr="00393CF8">
        <w:rPr>
          <w:rFonts w:eastAsia="Calibri"/>
          <w:sz w:val="22"/>
          <w:szCs w:val="22"/>
          <w:highlight w:val="lightGray"/>
          <w:lang w:eastAsia="en-US"/>
        </w:rPr>
        <w:t xml:space="preserve">DG </w:t>
      </w:r>
      <w:r w:rsidR="00B63152" w:rsidRPr="00393CF8">
        <w:rPr>
          <w:rFonts w:eastAsia="Calibri"/>
          <w:sz w:val="22"/>
          <w:szCs w:val="22"/>
          <w:highlight w:val="lightGray"/>
          <w:lang w:eastAsia="en-US"/>
        </w:rPr>
        <w:t>INTPA</w:t>
      </w:r>
      <w:r w:rsidRPr="00393CF8">
        <w:rPr>
          <w:rFonts w:eastAsia="Calibri"/>
          <w:sz w:val="22"/>
          <w:szCs w:val="22"/>
          <w:highlight w:val="lightGray"/>
          <w:lang w:eastAsia="en-US"/>
        </w:rPr>
        <w:t xml:space="preserve"> External action procurement and grant award procedures, contract execution and grant implementation under direct management and under indirect management with partner countries</w:t>
      </w:r>
      <w:r w:rsidR="003E480E" w:rsidRPr="00393CF8">
        <w:rPr>
          <w:rFonts w:eastAsia="Calibri"/>
          <w:sz w:val="22"/>
          <w:szCs w:val="22"/>
          <w:highlight w:val="lightGray"/>
          <w:lang w:eastAsia="en-US"/>
        </w:rPr>
        <w:t xml:space="preserve"> undertaken by</w:t>
      </w:r>
      <w:r w:rsidR="003E480E" w:rsidRPr="00393CF8">
        <w:rPr>
          <w:rFonts w:eastAsia="Calibri"/>
          <w:i/>
          <w:color w:val="FF0000"/>
          <w:sz w:val="22"/>
          <w:szCs w:val="22"/>
          <w:highlight w:val="lightGray"/>
          <w:lang w:eastAsia="en-US"/>
        </w:rPr>
        <w:t xml:space="preserve"> </w:t>
      </w:r>
      <w:r w:rsidR="003E480E" w:rsidRPr="00393CF8">
        <w:rPr>
          <w:sz w:val="22"/>
          <w:szCs w:val="22"/>
          <w:highlight w:val="lightGray"/>
        </w:rPr>
        <w:t xml:space="preserve">Directorate-General for </w:t>
      </w:r>
      <w:r w:rsidR="00B63152" w:rsidRPr="00393CF8">
        <w:rPr>
          <w:sz w:val="22"/>
          <w:szCs w:val="22"/>
          <w:highlight w:val="lightGray"/>
        </w:rPr>
        <w:t>International Partnerships,</w:t>
      </w:r>
      <w:r w:rsidR="003E480E" w:rsidRPr="00393CF8">
        <w:rPr>
          <w:sz w:val="22"/>
          <w:szCs w:val="22"/>
          <w:highlight w:val="lightGray"/>
        </w:rPr>
        <w:t xml:space="preserve"> Legal Affairs Unit (</w:t>
      </w:r>
      <w:r w:rsidR="00B63152" w:rsidRPr="00393CF8">
        <w:rPr>
          <w:sz w:val="22"/>
          <w:szCs w:val="22"/>
          <w:highlight w:val="lightGray"/>
        </w:rPr>
        <w:t>INTPA</w:t>
      </w:r>
      <w:r w:rsidR="003E480E" w:rsidRPr="00393CF8">
        <w:rPr>
          <w:sz w:val="22"/>
          <w:szCs w:val="22"/>
          <w:highlight w:val="lightGray"/>
        </w:rPr>
        <w:t>.R</w:t>
      </w:r>
      <w:r w:rsidR="00B63152" w:rsidRPr="00393CF8">
        <w:rPr>
          <w:sz w:val="22"/>
          <w:szCs w:val="22"/>
          <w:highlight w:val="lightGray"/>
        </w:rPr>
        <w:t>4</w:t>
      </w:r>
      <w:r w:rsidR="00393CF8">
        <w:rPr>
          <w:sz w:val="22"/>
          <w:szCs w:val="22"/>
          <w:highlight w:val="lightGray"/>
        </w:rPr>
        <w:t>)</w:t>
      </w:r>
      <w:r w:rsidR="00393CF8">
        <w:rPr>
          <w:sz w:val="22"/>
          <w:szCs w:val="22"/>
        </w:rPr>
        <w:t>]</w:t>
      </w:r>
    </w:p>
    <w:p w14:paraId="4CA33813" w14:textId="48A52D3F" w:rsidR="003E480E" w:rsidRPr="00637256" w:rsidRDefault="003E480E" w:rsidP="006C4BD2">
      <w:pPr>
        <w:pStyle w:val="BodyText2"/>
        <w:tabs>
          <w:tab w:val="left" w:pos="0"/>
          <w:tab w:val="left" w:pos="630"/>
        </w:tabs>
        <w:spacing w:before="120" w:after="120"/>
        <w:rPr>
          <w:rFonts w:eastAsia="Calibri"/>
          <w:sz w:val="22"/>
          <w:szCs w:val="22"/>
          <w:lang w:eastAsia="en-US"/>
        </w:rPr>
      </w:pPr>
      <w:r w:rsidRPr="00393CF8">
        <w:rPr>
          <w:sz w:val="22"/>
          <w:szCs w:val="22"/>
          <w:highlight w:val="yellow"/>
        </w:rPr>
        <w:t>For DG NEAR</w:t>
      </w:r>
      <w:r w:rsidRPr="00637256">
        <w:rPr>
          <w:sz w:val="22"/>
          <w:szCs w:val="22"/>
        </w:rPr>
        <w:t>:</w:t>
      </w:r>
      <w:r w:rsidR="009D6DFC" w:rsidRPr="00637256">
        <w:rPr>
          <w:sz w:val="22"/>
          <w:szCs w:val="22"/>
        </w:rPr>
        <w:t xml:space="preserve"> </w:t>
      </w:r>
      <w:r w:rsidR="00393CF8">
        <w:rPr>
          <w:sz w:val="22"/>
          <w:szCs w:val="22"/>
        </w:rPr>
        <w:t>[</w:t>
      </w:r>
      <w:r w:rsidR="004D7EFA" w:rsidRPr="00393CF8">
        <w:rPr>
          <w:rFonts w:eastAsia="Calibri"/>
          <w:sz w:val="22"/>
          <w:szCs w:val="22"/>
          <w:highlight w:val="lightGray"/>
          <w:lang w:eastAsia="en-US"/>
        </w:rPr>
        <w:t xml:space="preserve">DG NEAR </w:t>
      </w:r>
      <w:r w:rsidR="0009417A" w:rsidRPr="00393CF8">
        <w:rPr>
          <w:rFonts w:eastAsia="Calibri"/>
          <w:sz w:val="22"/>
          <w:szCs w:val="22"/>
          <w:highlight w:val="lightGray"/>
          <w:lang w:eastAsia="en-US"/>
        </w:rPr>
        <w:t>External action p</w:t>
      </w:r>
      <w:r w:rsidR="004D7EFA" w:rsidRPr="00393CF8">
        <w:rPr>
          <w:rFonts w:eastAsia="Calibri"/>
          <w:sz w:val="22"/>
          <w:szCs w:val="22"/>
          <w:highlight w:val="lightGray"/>
          <w:lang w:eastAsia="en-US"/>
        </w:rPr>
        <w:t xml:space="preserve">rocurement and grant award procedures, contract execution and grant implementation under direct management, indirect management by partner countries and </w:t>
      </w:r>
      <w:r w:rsidR="00A5345F" w:rsidRPr="00393CF8">
        <w:rPr>
          <w:rFonts w:eastAsia="Calibri"/>
          <w:sz w:val="22"/>
          <w:szCs w:val="22"/>
          <w:highlight w:val="lightGray"/>
          <w:lang w:eastAsia="en-US"/>
        </w:rPr>
        <w:t xml:space="preserve">under </w:t>
      </w:r>
      <w:r w:rsidR="004D7EFA" w:rsidRPr="00393CF8">
        <w:rPr>
          <w:rFonts w:eastAsia="Calibri"/>
          <w:sz w:val="22"/>
          <w:szCs w:val="22"/>
          <w:highlight w:val="lightGray"/>
          <w:lang w:eastAsia="en-US"/>
        </w:rPr>
        <w:t>shared management with Member States (cross-border cooperation)</w:t>
      </w:r>
      <w:r w:rsidRPr="00393CF8">
        <w:rPr>
          <w:rFonts w:eastAsia="Calibri"/>
          <w:sz w:val="22"/>
          <w:szCs w:val="22"/>
          <w:highlight w:val="lightGray"/>
          <w:lang w:eastAsia="en-US"/>
        </w:rPr>
        <w:t xml:space="preserve"> undertaken by</w:t>
      </w:r>
      <w:r w:rsidR="00F376B4" w:rsidRPr="00393CF8">
        <w:rPr>
          <w:rFonts w:eastAsia="Calibri"/>
          <w:sz w:val="22"/>
          <w:szCs w:val="22"/>
          <w:highlight w:val="lightGray"/>
          <w:lang w:eastAsia="en-US"/>
        </w:rPr>
        <w:t xml:space="preserve"> </w:t>
      </w:r>
      <w:r w:rsidRPr="00393CF8">
        <w:rPr>
          <w:sz w:val="22"/>
          <w:szCs w:val="22"/>
          <w:highlight w:val="lightGray"/>
        </w:rPr>
        <w:t>Directorate-General for Neighbourhood and Enlargement Negotiations Contracts and Finance Unit (NEAR.R4)</w:t>
      </w:r>
      <w:r w:rsidR="00393CF8">
        <w:rPr>
          <w:rFonts w:eastAsia="Calibri"/>
          <w:sz w:val="22"/>
          <w:szCs w:val="22"/>
          <w:lang w:eastAsia="en-US"/>
        </w:rPr>
        <w:t>]</w:t>
      </w:r>
    </w:p>
    <w:p w14:paraId="2CAB01C0" w14:textId="370E3F9A" w:rsidR="0003020D" w:rsidRPr="00637256" w:rsidRDefault="0003020D" w:rsidP="00FC54AB">
      <w:pPr>
        <w:rPr>
          <w:sz w:val="22"/>
          <w:szCs w:val="22"/>
          <w:lang w:val="en-GB"/>
        </w:rPr>
      </w:pPr>
      <w:r w:rsidRPr="00393CF8">
        <w:rPr>
          <w:sz w:val="22"/>
          <w:szCs w:val="22"/>
          <w:highlight w:val="yellow"/>
          <w:lang w:val="en-IE"/>
        </w:rPr>
        <w:t>For FPI</w:t>
      </w:r>
      <w:r w:rsidRPr="00637256">
        <w:rPr>
          <w:sz w:val="22"/>
          <w:szCs w:val="22"/>
          <w:lang w:val="en-IE"/>
        </w:rPr>
        <w:t xml:space="preserve">: </w:t>
      </w:r>
      <w:r w:rsidR="00393CF8">
        <w:rPr>
          <w:sz w:val="22"/>
          <w:szCs w:val="22"/>
          <w:lang w:val="en-IE"/>
        </w:rPr>
        <w:t>[</w:t>
      </w:r>
      <w:r w:rsidRPr="00393CF8">
        <w:rPr>
          <w:sz w:val="22"/>
          <w:szCs w:val="22"/>
          <w:highlight w:val="lightGray"/>
          <w:lang w:val="en-IE"/>
        </w:rPr>
        <w:t>FPI procurement and grant award procedures, contract execution and grant implementation under direct management on contract procedures for European Union external action undertaken by the Service for Foreign Policy Instruments, Budget, Finance and Relations with other Institutions Unit (FPI.1)</w:t>
      </w:r>
      <w:r w:rsidR="00393CF8">
        <w:rPr>
          <w:sz w:val="22"/>
          <w:szCs w:val="22"/>
          <w:lang w:val="en-IE"/>
        </w:rPr>
        <w:t>]</w:t>
      </w:r>
    </w:p>
    <w:p w14:paraId="376EFC37" w14:textId="1706EC4F" w:rsidR="006B6CEE" w:rsidRPr="00637256" w:rsidRDefault="006B6CEE" w:rsidP="00FC54AB">
      <w:pPr>
        <w:pStyle w:val="BodyText2"/>
        <w:tabs>
          <w:tab w:val="left" w:pos="0"/>
          <w:tab w:val="left" w:pos="630"/>
        </w:tabs>
        <w:spacing w:before="120"/>
        <w:rPr>
          <w:rFonts w:eastAsia="Calibri"/>
          <w:i/>
          <w:color w:val="FF0000"/>
          <w:sz w:val="22"/>
          <w:szCs w:val="22"/>
          <w:lang w:eastAsia="en-US"/>
        </w:rPr>
      </w:pPr>
      <w:proofErr w:type="gramStart"/>
      <w:r w:rsidRPr="00637256">
        <w:rPr>
          <w:rFonts w:eastAsia="Calibri"/>
          <w:sz w:val="22"/>
          <w:szCs w:val="22"/>
          <w:lang w:eastAsia="en-US"/>
        </w:rPr>
        <w:lastRenderedPageBreak/>
        <w:t>is</w:t>
      </w:r>
      <w:proofErr w:type="gramEnd"/>
      <w:r w:rsidRPr="00637256">
        <w:rPr>
          <w:rFonts w:eastAsia="Calibri"/>
          <w:sz w:val="22"/>
          <w:szCs w:val="22"/>
          <w:lang w:eastAsia="en-US"/>
        </w:rPr>
        <w:t xml:space="preserve"> presented below.</w:t>
      </w:r>
      <w:r w:rsidRPr="00637256">
        <w:rPr>
          <w:rFonts w:eastAsia="Calibri"/>
          <w:i/>
          <w:color w:val="FF0000"/>
          <w:sz w:val="22"/>
          <w:szCs w:val="22"/>
          <w:lang w:eastAsia="en-US"/>
        </w:rPr>
        <w:t xml:space="preserve"> </w:t>
      </w:r>
    </w:p>
    <w:p w14:paraId="1D856429" w14:textId="77777777" w:rsidR="00172D8D" w:rsidRPr="00637256" w:rsidRDefault="00172D8D" w:rsidP="00FC54AB">
      <w:pPr>
        <w:pStyle w:val="BodyText2"/>
        <w:tabs>
          <w:tab w:val="left" w:pos="0"/>
          <w:tab w:val="left" w:pos="630"/>
        </w:tabs>
        <w:spacing w:before="120"/>
        <w:rPr>
          <w:sz w:val="22"/>
          <w:szCs w:val="22"/>
        </w:rPr>
      </w:pPr>
    </w:p>
    <w:p w14:paraId="37CE9F2D" w14:textId="77777777" w:rsidR="006B6CEE" w:rsidRPr="00637256" w:rsidRDefault="006B6CEE" w:rsidP="00FC54AB">
      <w:pPr>
        <w:keepNext/>
        <w:numPr>
          <w:ilvl w:val="0"/>
          <w:numId w:val="21"/>
        </w:numPr>
        <w:spacing w:after="200"/>
        <w:ind w:left="714" w:hanging="357"/>
        <w:rPr>
          <w:rFonts w:eastAsia="Calibri"/>
          <w:b/>
          <w:bCs/>
          <w:sz w:val="22"/>
          <w:szCs w:val="22"/>
          <w:u w:val="single"/>
          <w:lang w:val="en-GB" w:eastAsia="en-US"/>
        </w:rPr>
      </w:pPr>
      <w:r w:rsidRPr="00637256">
        <w:rPr>
          <w:rFonts w:eastAsia="Calibri"/>
          <w:b/>
          <w:bCs/>
          <w:sz w:val="22"/>
          <w:szCs w:val="22"/>
          <w:u w:val="single"/>
          <w:lang w:val="en-GB" w:eastAsia="en-US"/>
        </w:rPr>
        <w:t>Why and how do we process your personal data?</w:t>
      </w:r>
    </w:p>
    <w:p w14:paraId="0CBD48FC" w14:textId="77777777" w:rsidR="009D6DFC" w:rsidRPr="00637256" w:rsidRDefault="006B6CEE" w:rsidP="006C4BD2">
      <w:pPr>
        <w:rPr>
          <w:rFonts w:eastAsia="Calibri"/>
          <w:sz w:val="22"/>
          <w:szCs w:val="22"/>
          <w:lang w:val="en-GB" w:eastAsia="en-US"/>
        </w:rPr>
      </w:pPr>
      <w:r w:rsidRPr="00637256">
        <w:rPr>
          <w:rFonts w:eastAsia="Calibri"/>
          <w:sz w:val="22"/>
          <w:szCs w:val="22"/>
          <w:u w:val="single"/>
          <w:lang w:val="en-GB" w:eastAsia="en-US"/>
        </w:rPr>
        <w:t>Purpose of the processing operation</w:t>
      </w:r>
      <w:r w:rsidRPr="00637256">
        <w:rPr>
          <w:rFonts w:eastAsia="Calibri"/>
          <w:sz w:val="22"/>
          <w:szCs w:val="22"/>
          <w:lang w:val="en-GB" w:eastAsia="en-US"/>
        </w:rPr>
        <w:t xml:space="preserve">: </w:t>
      </w:r>
    </w:p>
    <w:p w14:paraId="4C3D6244" w14:textId="47198BDD" w:rsidR="0003020D" w:rsidRPr="00637256" w:rsidRDefault="006C4BD2" w:rsidP="0003020D">
      <w:pPr>
        <w:rPr>
          <w:sz w:val="22"/>
          <w:szCs w:val="22"/>
          <w:lang w:val="en-GB"/>
        </w:rPr>
      </w:pPr>
      <w:r w:rsidRPr="00393CF8">
        <w:rPr>
          <w:sz w:val="22"/>
          <w:szCs w:val="22"/>
          <w:highlight w:val="yellow"/>
          <w:lang w:val="en-GB"/>
        </w:rPr>
        <w:t xml:space="preserve">For DG </w:t>
      </w:r>
      <w:r w:rsidR="00B63152" w:rsidRPr="00393CF8">
        <w:rPr>
          <w:sz w:val="22"/>
          <w:szCs w:val="22"/>
          <w:highlight w:val="yellow"/>
          <w:lang w:val="en-GB"/>
        </w:rPr>
        <w:t>INTPA</w:t>
      </w:r>
      <w:r w:rsidR="009D6DFC" w:rsidRPr="00637256">
        <w:rPr>
          <w:sz w:val="22"/>
          <w:szCs w:val="22"/>
          <w:lang w:val="en-GB"/>
        </w:rPr>
        <w:t xml:space="preserve">: </w:t>
      </w:r>
      <w:r w:rsidR="00393CF8">
        <w:rPr>
          <w:sz w:val="22"/>
          <w:szCs w:val="22"/>
          <w:lang w:val="en-GB"/>
        </w:rPr>
        <w:t>[</w:t>
      </w:r>
      <w:r w:rsidR="008C2314" w:rsidRPr="00F8704C">
        <w:rPr>
          <w:sz w:val="22"/>
          <w:szCs w:val="22"/>
          <w:highlight w:val="lightGray"/>
          <w:lang w:val="en-GB"/>
        </w:rPr>
        <w:t>T</w:t>
      </w:r>
      <w:r w:rsidR="00E06004" w:rsidRPr="00F8704C">
        <w:rPr>
          <w:sz w:val="22"/>
          <w:szCs w:val="22"/>
          <w:highlight w:val="lightGray"/>
          <w:lang w:val="en-GB"/>
        </w:rPr>
        <w:t xml:space="preserve">he </w:t>
      </w:r>
      <w:r w:rsidRPr="00F8704C">
        <w:rPr>
          <w:sz w:val="22"/>
          <w:szCs w:val="22"/>
          <w:highlight w:val="lightGray"/>
          <w:lang w:val="en-GB"/>
        </w:rPr>
        <w:t xml:space="preserve">Directorate-General for </w:t>
      </w:r>
      <w:r w:rsidR="00B63152" w:rsidRPr="00F8704C">
        <w:rPr>
          <w:sz w:val="22"/>
          <w:szCs w:val="22"/>
          <w:highlight w:val="lightGray"/>
          <w:lang w:val="en-GB"/>
        </w:rPr>
        <w:t xml:space="preserve">International Partnerships </w:t>
      </w:r>
      <w:r w:rsidRPr="00F8704C">
        <w:rPr>
          <w:sz w:val="22"/>
          <w:szCs w:val="22"/>
          <w:highlight w:val="lightGray"/>
          <w:lang w:val="en-GB"/>
        </w:rPr>
        <w:t>(</w:t>
      </w:r>
      <w:r w:rsidR="008C2314" w:rsidRPr="00F8704C">
        <w:rPr>
          <w:sz w:val="22"/>
          <w:szCs w:val="22"/>
          <w:highlight w:val="lightGray"/>
          <w:lang w:val="en-GB"/>
        </w:rPr>
        <w:t xml:space="preserve">DG </w:t>
      </w:r>
      <w:r w:rsidR="00B63152" w:rsidRPr="00F8704C">
        <w:rPr>
          <w:sz w:val="22"/>
          <w:szCs w:val="22"/>
          <w:highlight w:val="lightGray"/>
          <w:lang w:val="en-GB"/>
        </w:rPr>
        <w:t>INTPA</w:t>
      </w:r>
      <w:r w:rsidRPr="00F8704C">
        <w:rPr>
          <w:sz w:val="22"/>
          <w:szCs w:val="22"/>
          <w:highlight w:val="lightGray"/>
          <w:lang w:val="en-GB"/>
        </w:rPr>
        <w:t>)</w:t>
      </w:r>
      <w:r w:rsidR="00393CF8">
        <w:rPr>
          <w:sz w:val="22"/>
          <w:szCs w:val="22"/>
          <w:lang w:val="en-GB"/>
        </w:rPr>
        <w:t>]</w:t>
      </w:r>
      <w:r w:rsidR="009D6DFC" w:rsidRPr="00637256">
        <w:rPr>
          <w:sz w:val="22"/>
          <w:szCs w:val="22"/>
          <w:lang w:val="en-GB"/>
        </w:rPr>
        <w:t>,</w:t>
      </w:r>
      <w:r w:rsidR="0008433E">
        <w:rPr>
          <w:sz w:val="22"/>
          <w:szCs w:val="22"/>
          <w:lang w:val="en-GB"/>
        </w:rPr>
        <w:t xml:space="preserve"> </w:t>
      </w:r>
      <w:r w:rsidRPr="00393CF8">
        <w:rPr>
          <w:sz w:val="22"/>
          <w:szCs w:val="22"/>
          <w:highlight w:val="yellow"/>
          <w:lang w:val="en-GB"/>
        </w:rPr>
        <w:t>For DG NEAR</w:t>
      </w:r>
      <w:r w:rsidR="009D6DFC" w:rsidRPr="00637256">
        <w:rPr>
          <w:sz w:val="22"/>
          <w:szCs w:val="22"/>
          <w:lang w:val="en-GB"/>
        </w:rPr>
        <w:t xml:space="preserve">: </w:t>
      </w:r>
      <w:r w:rsidR="00393CF8">
        <w:rPr>
          <w:sz w:val="22"/>
          <w:szCs w:val="22"/>
          <w:lang w:val="en-GB"/>
        </w:rPr>
        <w:t>[</w:t>
      </w:r>
      <w:r w:rsidR="008C2314" w:rsidRPr="00F8704C">
        <w:rPr>
          <w:sz w:val="22"/>
          <w:szCs w:val="22"/>
          <w:highlight w:val="lightGray"/>
          <w:lang w:val="en-GB"/>
        </w:rPr>
        <w:t xml:space="preserve">The </w:t>
      </w:r>
      <w:r w:rsidRPr="00F8704C">
        <w:rPr>
          <w:sz w:val="22"/>
          <w:szCs w:val="22"/>
          <w:highlight w:val="lightGray"/>
          <w:lang w:val="en-GB"/>
        </w:rPr>
        <w:t>Directorate-General for Neighbourhood and Enlargement Negotiations (</w:t>
      </w:r>
      <w:r w:rsidR="008C2314" w:rsidRPr="00F8704C">
        <w:rPr>
          <w:sz w:val="22"/>
          <w:szCs w:val="22"/>
          <w:highlight w:val="lightGray"/>
          <w:lang w:val="en-GB"/>
        </w:rPr>
        <w:t xml:space="preserve">DG </w:t>
      </w:r>
      <w:r w:rsidRPr="00F8704C">
        <w:rPr>
          <w:sz w:val="22"/>
          <w:szCs w:val="22"/>
          <w:highlight w:val="lightGray"/>
          <w:lang w:val="en-GB"/>
        </w:rPr>
        <w:t>NEAR)</w:t>
      </w:r>
      <w:r w:rsidR="00393CF8">
        <w:rPr>
          <w:sz w:val="22"/>
          <w:szCs w:val="22"/>
          <w:lang w:val="en-GB"/>
        </w:rPr>
        <w:t>]</w:t>
      </w:r>
      <w:r w:rsidR="006B6CEE" w:rsidRPr="00637256">
        <w:rPr>
          <w:sz w:val="22"/>
          <w:szCs w:val="22"/>
          <w:lang w:val="en-GB" w:eastAsia="en-GB"/>
        </w:rPr>
        <w:t xml:space="preserve">collects and uses your personal information </w:t>
      </w:r>
      <w:r w:rsidRPr="00637256">
        <w:rPr>
          <w:color w:val="000000"/>
          <w:sz w:val="22"/>
          <w:szCs w:val="22"/>
          <w:lang w:val="en-GB" w:eastAsia="en-GB"/>
        </w:rPr>
        <w:t>fo</w:t>
      </w:r>
      <w:r w:rsidR="00E06004" w:rsidRPr="00637256">
        <w:rPr>
          <w:color w:val="000000"/>
          <w:sz w:val="22"/>
          <w:szCs w:val="22"/>
          <w:lang w:val="en-GB" w:eastAsia="en-GB"/>
        </w:rPr>
        <w:t xml:space="preserve">r the purpose of the management </w:t>
      </w:r>
      <w:r w:rsidRPr="00637256">
        <w:rPr>
          <w:color w:val="000000"/>
          <w:sz w:val="22"/>
          <w:szCs w:val="22"/>
          <w:lang w:val="en-GB" w:eastAsia="en-GB"/>
        </w:rPr>
        <w:t xml:space="preserve">of </w:t>
      </w:r>
      <w:r w:rsidR="00E06004" w:rsidRPr="00637256">
        <w:rPr>
          <w:color w:val="000000"/>
          <w:sz w:val="22"/>
          <w:szCs w:val="22"/>
          <w:lang w:val="en-GB" w:eastAsia="en-GB"/>
        </w:rPr>
        <w:t xml:space="preserve">procurement and grant award procedures, </w:t>
      </w:r>
      <w:r w:rsidR="00CF17DB" w:rsidRPr="00637256">
        <w:rPr>
          <w:rFonts w:eastAsia="Calibri"/>
          <w:sz w:val="22"/>
          <w:szCs w:val="22"/>
          <w:lang w:val="en-GB" w:eastAsia="en-US"/>
        </w:rPr>
        <w:t>including participant registration, validation and assessment</w:t>
      </w:r>
      <w:r w:rsidR="00BC2B6D" w:rsidRPr="00637256">
        <w:rPr>
          <w:rFonts w:eastAsia="Calibri"/>
          <w:sz w:val="22"/>
          <w:szCs w:val="22"/>
          <w:lang w:val="en-GB" w:eastAsia="en-US"/>
        </w:rPr>
        <w:t>, a</w:t>
      </w:r>
      <w:r w:rsidR="00A45CEF" w:rsidRPr="00637256">
        <w:rPr>
          <w:rFonts w:eastAsia="Calibri"/>
          <w:sz w:val="22"/>
          <w:szCs w:val="22"/>
          <w:lang w:val="en-GB" w:eastAsia="en-US"/>
        </w:rPr>
        <w:t>s well as</w:t>
      </w:r>
      <w:r w:rsidR="00CF17DB" w:rsidRPr="00637256">
        <w:rPr>
          <w:rFonts w:eastAsia="Calibri"/>
          <w:sz w:val="22"/>
          <w:szCs w:val="22"/>
          <w:lang w:val="en-GB" w:eastAsia="en-US"/>
        </w:rPr>
        <w:t xml:space="preserve"> </w:t>
      </w:r>
      <w:r w:rsidR="00E06004" w:rsidRPr="00637256">
        <w:rPr>
          <w:color w:val="000000"/>
          <w:sz w:val="22"/>
          <w:szCs w:val="22"/>
          <w:lang w:val="en-GB" w:eastAsia="en-GB"/>
        </w:rPr>
        <w:t>contract execution and grant implementation under direct management and under indirect management with partner countries</w:t>
      </w:r>
      <w:r w:rsidR="00A0789A" w:rsidRPr="00637256">
        <w:rPr>
          <w:color w:val="000000"/>
          <w:sz w:val="22"/>
          <w:szCs w:val="22"/>
          <w:lang w:val="en-GB" w:eastAsia="en-GB"/>
        </w:rPr>
        <w:t xml:space="preserve"> </w:t>
      </w:r>
      <w:r w:rsidR="00393CF8">
        <w:rPr>
          <w:color w:val="000000"/>
          <w:sz w:val="22"/>
          <w:szCs w:val="22"/>
          <w:lang w:val="en-GB" w:eastAsia="en-GB"/>
        </w:rPr>
        <w:t>[</w:t>
      </w:r>
      <w:r w:rsidR="00393CF8" w:rsidRPr="00393CF8">
        <w:rPr>
          <w:color w:val="000000"/>
          <w:sz w:val="22"/>
          <w:szCs w:val="22"/>
          <w:highlight w:val="yellow"/>
          <w:lang w:val="en-GB" w:eastAsia="en-GB"/>
        </w:rPr>
        <w:t>For DG NEAR</w:t>
      </w:r>
      <w:r w:rsidR="00393CF8">
        <w:rPr>
          <w:color w:val="000000"/>
          <w:sz w:val="22"/>
          <w:szCs w:val="22"/>
          <w:lang w:val="en-GB" w:eastAsia="en-GB"/>
        </w:rPr>
        <w:t xml:space="preserve">: </w:t>
      </w:r>
      <w:r w:rsidR="00A0789A" w:rsidRPr="00393CF8">
        <w:rPr>
          <w:color w:val="000000"/>
          <w:sz w:val="22"/>
          <w:szCs w:val="22"/>
          <w:highlight w:val="lightGray"/>
          <w:lang w:val="en-GB" w:eastAsia="en-GB"/>
        </w:rPr>
        <w:t xml:space="preserve">and </w:t>
      </w:r>
      <w:r w:rsidR="00C43897" w:rsidRPr="00393CF8">
        <w:rPr>
          <w:color w:val="000000"/>
          <w:sz w:val="22"/>
          <w:szCs w:val="22"/>
          <w:highlight w:val="lightGray"/>
          <w:lang w:val="en-GB" w:eastAsia="en-GB"/>
        </w:rPr>
        <w:t xml:space="preserve">under </w:t>
      </w:r>
      <w:r w:rsidR="00A0789A" w:rsidRPr="00393CF8">
        <w:rPr>
          <w:color w:val="000000"/>
          <w:sz w:val="22"/>
          <w:szCs w:val="22"/>
          <w:highlight w:val="lightGray"/>
          <w:lang w:val="en-GB" w:eastAsia="en-GB"/>
        </w:rPr>
        <w:t>shared management with Member States</w:t>
      </w:r>
      <w:r w:rsidR="00E06004" w:rsidRPr="00393CF8">
        <w:rPr>
          <w:color w:val="000000"/>
          <w:sz w:val="22"/>
          <w:szCs w:val="22"/>
          <w:highlight w:val="lightGray"/>
          <w:lang w:val="en-GB" w:eastAsia="en-GB"/>
        </w:rPr>
        <w:t xml:space="preserve"> for the </w:t>
      </w:r>
      <w:r w:rsidR="00E06004" w:rsidRPr="00393CF8">
        <w:rPr>
          <w:sz w:val="22"/>
          <w:szCs w:val="22"/>
          <w:highlight w:val="lightGray"/>
          <w:lang w:val="en-GB"/>
        </w:rPr>
        <w:t>i</w:t>
      </w:r>
      <w:r w:rsidRPr="00393CF8">
        <w:rPr>
          <w:sz w:val="22"/>
          <w:szCs w:val="22"/>
          <w:highlight w:val="lightGray"/>
          <w:lang w:val="en-GB"/>
        </w:rPr>
        <w:t>mplementation of EU f</w:t>
      </w:r>
      <w:r w:rsidR="00E06004" w:rsidRPr="00393CF8">
        <w:rPr>
          <w:sz w:val="22"/>
          <w:szCs w:val="22"/>
          <w:highlight w:val="lightGray"/>
          <w:lang w:val="en-GB"/>
        </w:rPr>
        <w:t>inanced</w:t>
      </w:r>
      <w:r w:rsidRPr="00393CF8">
        <w:rPr>
          <w:sz w:val="22"/>
          <w:szCs w:val="22"/>
          <w:highlight w:val="lightGray"/>
          <w:lang w:val="en-GB"/>
        </w:rPr>
        <w:t xml:space="preserve"> external actions</w:t>
      </w:r>
      <w:r w:rsidR="00393CF8">
        <w:rPr>
          <w:sz w:val="22"/>
          <w:szCs w:val="22"/>
          <w:lang w:val="en-GB"/>
        </w:rPr>
        <w:t>]</w:t>
      </w:r>
      <w:r w:rsidR="00E06004" w:rsidRPr="00637256">
        <w:rPr>
          <w:sz w:val="22"/>
          <w:szCs w:val="22"/>
          <w:lang w:val="en-GB"/>
        </w:rPr>
        <w:t>.</w:t>
      </w:r>
      <w:r w:rsidR="008C5AFF" w:rsidRPr="00637256">
        <w:rPr>
          <w:sz w:val="22"/>
          <w:szCs w:val="22"/>
          <w:lang w:val="en-GB"/>
        </w:rPr>
        <w:t xml:space="preserve"> </w:t>
      </w:r>
    </w:p>
    <w:p w14:paraId="69EFA24B" w14:textId="3371B1FA" w:rsidR="0003020D" w:rsidRPr="00637256" w:rsidRDefault="00393CF8" w:rsidP="0003020D">
      <w:pPr>
        <w:rPr>
          <w:color w:val="000000"/>
          <w:sz w:val="22"/>
          <w:szCs w:val="22"/>
          <w:lang w:val="en-GB" w:eastAsia="en-GB"/>
        </w:rPr>
      </w:pPr>
      <w:r w:rsidRPr="00393CF8">
        <w:rPr>
          <w:color w:val="000000"/>
          <w:sz w:val="22"/>
          <w:szCs w:val="22"/>
          <w:highlight w:val="yellow"/>
          <w:lang w:val="en-GB" w:eastAsia="en-GB"/>
        </w:rPr>
        <w:t>For FPI</w:t>
      </w:r>
      <w:r>
        <w:rPr>
          <w:color w:val="000000"/>
          <w:sz w:val="22"/>
          <w:szCs w:val="22"/>
          <w:lang w:val="en-GB" w:eastAsia="en-GB"/>
        </w:rPr>
        <w:t>: [</w:t>
      </w:r>
      <w:r w:rsidR="0003020D" w:rsidRPr="00393CF8">
        <w:rPr>
          <w:color w:val="000000"/>
          <w:sz w:val="22"/>
          <w:szCs w:val="22"/>
          <w:highlight w:val="lightGray"/>
          <w:lang w:val="en-GB" w:eastAsia="en-GB"/>
        </w:rPr>
        <w:t xml:space="preserve">FPI collects and uses your personal information for the purpose of the management of procurement and grant award procedures, </w:t>
      </w:r>
      <w:r w:rsidR="00CF17DB" w:rsidRPr="00393CF8">
        <w:rPr>
          <w:rFonts w:eastAsia="Calibri"/>
          <w:sz w:val="22"/>
          <w:szCs w:val="22"/>
          <w:highlight w:val="lightGray"/>
          <w:lang w:val="en-GB" w:eastAsia="en-US"/>
        </w:rPr>
        <w:t>including</w:t>
      </w:r>
      <w:r w:rsidR="00FC54AB" w:rsidRPr="00393CF8">
        <w:rPr>
          <w:rFonts w:eastAsia="Calibri"/>
          <w:sz w:val="22"/>
          <w:szCs w:val="22"/>
          <w:highlight w:val="lightGray"/>
          <w:lang w:val="en-GB" w:eastAsia="en-US"/>
        </w:rPr>
        <w:t xml:space="preserve"> </w:t>
      </w:r>
      <w:r w:rsidR="00CF17DB" w:rsidRPr="00393CF8">
        <w:rPr>
          <w:rFonts w:eastAsia="Calibri"/>
          <w:sz w:val="22"/>
          <w:szCs w:val="22"/>
          <w:highlight w:val="lightGray"/>
          <w:lang w:val="en-GB" w:eastAsia="en-US"/>
        </w:rPr>
        <w:t>participant registration, validation and assessment</w:t>
      </w:r>
      <w:r w:rsidR="00BC2B6D" w:rsidRPr="00393CF8">
        <w:rPr>
          <w:rFonts w:eastAsia="Calibri"/>
          <w:sz w:val="22"/>
          <w:szCs w:val="22"/>
          <w:highlight w:val="lightGray"/>
          <w:lang w:val="en-GB" w:eastAsia="en-US"/>
        </w:rPr>
        <w:t>, a</w:t>
      </w:r>
      <w:r w:rsidR="00A45CEF" w:rsidRPr="00393CF8">
        <w:rPr>
          <w:rFonts w:eastAsia="Calibri"/>
          <w:sz w:val="22"/>
          <w:szCs w:val="22"/>
          <w:highlight w:val="lightGray"/>
          <w:lang w:val="en-GB" w:eastAsia="en-US"/>
        </w:rPr>
        <w:t xml:space="preserve">s well as </w:t>
      </w:r>
      <w:r w:rsidR="0003020D" w:rsidRPr="00393CF8">
        <w:rPr>
          <w:color w:val="000000"/>
          <w:sz w:val="22"/>
          <w:szCs w:val="22"/>
          <w:highlight w:val="lightGray"/>
          <w:lang w:val="en-GB" w:eastAsia="en-GB"/>
        </w:rPr>
        <w:t>contract execution and grant implementation under direct management.</w:t>
      </w:r>
      <w:r>
        <w:rPr>
          <w:color w:val="000000"/>
          <w:sz w:val="22"/>
          <w:szCs w:val="22"/>
          <w:lang w:val="en-GB" w:eastAsia="en-GB"/>
        </w:rPr>
        <w:t>]</w:t>
      </w:r>
    </w:p>
    <w:p w14:paraId="7BD9031C" w14:textId="7B490749" w:rsidR="00A45CEF" w:rsidRPr="00637256" w:rsidRDefault="00A45CEF" w:rsidP="006C4BD2">
      <w:pPr>
        <w:rPr>
          <w:sz w:val="22"/>
          <w:szCs w:val="22"/>
          <w:lang w:val="en-GB"/>
        </w:rPr>
      </w:pPr>
      <w:r w:rsidRPr="00637256">
        <w:rPr>
          <w:sz w:val="22"/>
          <w:szCs w:val="22"/>
          <w:lang w:val="en-GB"/>
        </w:rPr>
        <w:t xml:space="preserve">Processing operations for registration and validation of participants purposes include processing operations for the purpose of verification that the organisation (natural and legal person) exists as a legal entity and that its legal data is correct, </w:t>
      </w:r>
      <w:r w:rsidR="00C43897" w:rsidRPr="00637256">
        <w:rPr>
          <w:sz w:val="22"/>
          <w:szCs w:val="22"/>
          <w:lang w:val="en-GB"/>
        </w:rPr>
        <w:t xml:space="preserve">and </w:t>
      </w:r>
      <w:r w:rsidRPr="00637256">
        <w:rPr>
          <w:sz w:val="22"/>
          <w:szCs w:val="22"/>
          <w:lang w:val="en-GB"/>
        </w:rPr>
        <w:t>also for the purpose of verification of certain special legal statuses that are used in EU funding programmes, as well as for the assessment of the financial capacity and ownership / control structure of participants.</w:t>
      </w:r>
    </w:p>
    <w:p w14:paraId="2931FE0D" w14:textId="7772B489" w:rsidR="00E06004" w:rsidRPr="00637256" w:rsidRDefault="008C5AFF" w:rsidP="006C4BD2">
      <w:pPr>
        <w:rPr>
          <w:sz w:val="22"/>
          <w:szCs w:val="22"/>
          <w:lang w:val="en-GB"/>
        </w:rPr>
      </w:pPr>
      <w:r w:rsidRPr="00637256">
        <w:rPr>
          <w:sz w:val="22"/>
          <w:szCs w:val="22"/>
          <w:lang w:val="en-GB"/>
        </w:rPr>
        <w:t>Processing by Headquarters</w:t>
      </w:r>
      <w:r w:rsidR="00230CA3" w:rsidRPr="00637256">
        <w:rPr>
          <w:sz w:val="22"/>
          <w:szCs w:val="22"/>
          <w:lang w:val="en-GB"/>
        </w:rPr>
        <w:t xml:space="preserve"> (HQ)</w:t>
      </w:r>
      <w:r w:rsidRPr="00637256">
        <w:rPr>
          <w:sz w:val="22"/>
          <w:szCs w:val="22"/>
          <w:lang w:val="en-GB"/>
        </w:rPr>
        <w:t xml:space="preserve">, as well as processing by EU Delegations (EUDEL) for the actions falling under </w:t>
      </w:r>
      <w:r w:rsidR="00B63152" w:rsidRPr="00637256">
        <w:rPr>
          <w:sz w:val="22"/>
          <w:szCs w:val="22"/>
          <w:lang w:val="en-GB"/>
        </w:rPr>
        <w:t>INTPA</w:t>
      </w:r>
      <w:r w:rsidRPr="00637256">
        <w:rPr>
          <w:sz w:val="22"/>
          <w:szCs w:val="22"/>
          <w:lang w:val="en-GB"/>
        </w:rPr>
        <w:t>’s</w:t>
      </w:r>
      <w:r w:rsidR="009D6DFC" w:rsidRPr="00637256">
        <w:rPr>
          <w:sz w:val="22"/>
          <w:szCs w:val="22"/>
          <w:lang w:val="en-GB"/>
        </w:rPr>
        <w:t>/</w:t>
      </w:r>
      <w:r w:rsidRPr="00637256">
        <w:rPr>
          <w:sz w:val="22"/>
          <w:szCs w:val="22"/>
          <w:lang w:val="en-GB"/>
        </w:rPr>
        <w:t xml:space="preserve">NEAR’s </w:t>
      </w:r>
      <w:r w:rsidR="0003020D" w:rsidRPr="00637256">
        <w:rPr>
          <w:sz w:val="22"/>
          <w:szCs w:val="22"/>
          <w:lang w:val="en-GB"/>
        </w:rPr>
        <w:t xml:space="preserve">and FPI’s </w:t>
      </w:r>
      <w:r w:rsidRPr="00637256">
        <w:rPr>
          <w:sz w:val="22"/>
          <w:szCs w:val="22"/>
          <w:lang w:val="en-GB"/>
        </w:rPr>
        <w:t xml:space="preserve">scope of competence, are both covered.  </w:t>
      </w:r>
    </w:p>
    <w:p w14:paraId="20345443" w14:textId="65F82E5F" w:rsidR="006B6CEE" w:rsidRPr="00637256" w:rsidRDefault="008E7B5C" w:rsidP="008C2314">
      <w:pPr>
        <w:rPr>
          <w:rFonts w:eastAsia="Cambria"/>
          <w:sz w:val="22"/>
          <w:szCs w:val="22"/>
          <w:lang w:val="en-GB" w:eastAsia="en-US"/>
        </w:rPr>
      </w:pPr>
      <w:r w:rsidRPr="00637256">
        <w:rPr>
          <w:rFonts w:eastAsia="Cambria"/>
          <w:sz w:val="22"/>
          <w:szCs w:val="22"/>
          <w:lang w:val="en-GB" w:eastAsia="en-US"/>
        </w:rPr>
        <w:t xml:space="preserve">Processing of personal data takes place using both automated means, in particular the Commission’s electronic systems for the management of procurement/grant award procedures/contract execution/grant implementation (e.g. </w:t>
      </w:r>
      <w:r w:rsidR="00AC09F7" w:rsidRPr="00637256">
        <w:rPr>
          <w:rFonts w:eastAsia="Cambria"/>
          <w:sz w:val="22"/>
          <w:szCs w:val="22"/>
          <w:lang w:val="en-GB" w:eastAsia="en-US"/>
        </w:rPr>
        <w:t xml:space="preserve">Funding &amp; Tender </w:t>
      </w:r>
      <w:r w:rsidR="002206EC" w:rsidRPr="00637256">
        <w:rPr>
          <w:rFonts w:eastAsia="Cambria"/>
          <w:sz w:val="22"/>
          <w:szCs w:val="22"/>
          <w:lang w:val="en-GB" w:eastAsia="en-US"/>
        </w:rPr>
        <w:t xml:space="preserve">opportunities </w:t>
      </w:r>
      <w:r w:rsidR="00AC09F7" w:rsidRPr="00637256">
        <w:rPr>
          <w:rFonts w:eastAsia="Cambria"/>
          <w:sz w:val="22"/>
          <w:szCs w:val="22"/>
          <w:lang w:val="en-GB" w:eastAsia="en-US"/>
        </w:rPr>
        <w:t xml:space="preserve">portal, </w:t>
      </w:r>
      <w:r w:rsidR="00FE36E8" w:rsidRPr="00637256">
        <w:rPr>
          <w:rFonts w:eastAsia="Cambria"/>
          <w:sz w:val="22"/>
          <w:szCs w:val="22"/>
          <w:lang w:val="en-GB" w:eastAsia="en-US"/>
        </w:rPr>
        <w:t xml:space="preserve">Participant Register, </w:t>
      </w:r>
      <w:r w:rsidRPr="00637256">
        <w:rPr>
          <w:rFonts w:eastAsia="Cambria"/>
          <w:sz w:val="22"/>
          <w:szCs w:val="22"/>
          <w:lang w:val="en-GB" w:eastAsia="en-US"/>
        </w:rPr>
        <w:t>PADOR, PROSPECT, CRIS, OPSYS, ABAC, ARES) and manual means, such as paper files.</w:t>
      </w:r>
    </w:p>
    <w:p w14:paraId="1291463D" w14:textId="1B11B41A" w:rsidR="006B6CEE" w:rsidRPr="00637256" w:rsidRDefault="006B6CEE" w:rsidP="006C4BD2">
      <w:pPr>
        <w:autoSpaceDE w:val="0"/>
        <w:autoSpaceDN w:val="0"/>
        <w:adjustRightInd w:val="0"/>
        <w:spacing w:after="0"/>
        <w:rPr>
          <w:rFonts w:eastAsia="Cambria"/>
          <w:sz w:val="22"/>
          <w:szCs w:val="22"/>
          <w:lang w:val="en-US" w:eastAsia="en-US"/>
        </w:rPr>
      </w:pPr>
      <w:r w:rsidRPr="00637256">
        <w:rPr>
          <w:rFonts w:eastAsia="Cambria"/>
          <w:sz w:val="22"/>
          <w:szCs w:val="22"/>
          <w:lang w:val="en-US" w:eastAsia="en-US"/>
        </w:rPr>
        <w:t xml:space="preserve">Your personal data will </w:t>
      </w:r>
      <w:r w:rsidRPr="00637256">
        <w:rPr>
          <w:rFonts w:eastAsia="Cambria"/>
          <w:i/>
          <w:sz w:val="22"/>
          <w:szCs w:val="22"/>
          <w:u w:val="single"/>
          <w:lang w:val="en-US" w:eastAsia="en-US"/>
        </w:rPr>
        <w:t>not</w:t>
      </w:r>
      <w:r w:rsidRPr="00637256">
        <w:rPr>
          <w:rFonts w:eastAsia="Cambria"/>
          <w:sz w:val="22"/>
          <w:szCs w:val="22"/>
          <w:lang w:val="en-US" w:eastAsia="en-US"/>
        </w:rPr>
        <w:t xml:space="preserve"> be used for an automated decision-making including profiling. </w:t>
      </w:r>
    </w:p>
    <w:p w14:paraId="11370338" w14:textId="77777777" w:rsidR="00172D8D" w:rsidRPr="00637256" w:rsidRDefault="00172D8D" w:rsidP="006C4BD2">
      <w:pPr>
        <w:autoSpaceDE w:val="0"/>
        <w:autoSpaceDN w:val="0"/>
        <w:adjustRightInd w:val="0"/>
        <w:spacing w:after="0"/>
        <w:rPr>
          <w:rFonts w:eastAsia="Cambria"/>
          <w:i/>
          <w:sz w:val="22"/>
          <w:szCs w:val="22"/>
          <w:lang w:val="en-US" w:eastAsia="en-US"/>
        </w:rPr>
      </w:pPr>
    </w:p>
    <w:p w14:paraId="6A4058F7" w14:textId="77777777" w:rsidR="006B6CEE" w:rsidRPr="00637256" w:rsidRDefault="006B6CEE" w:rsidP="006B6CEE">
      <w:pPr>
        <w:autoSpaceDE w:val="0"/>
        <w:autoSpaceDN w:val="0"/>
        <w:adjustRightInd w:val="0"/>
        <w:spacing w:after="0"/>
        <w:rPr>
          <w:rFonts w:eastAsia="Cambria"/>
          <w:i/>
          <w:color w:val="FF0000"/>
          <w:sz w:val="22"/>
          <w:szCs w:val="22"/>
          <w:lang w:val="en-US" w:eastAsia="en-US"/>
        </w:rPr>
      </w:pPr>
    </w:p>
    <w:p w14:paraId="41A1EE85" w14:textId="77777777" w:rsidR="006B6CEE" w:rsidRPr="00637256" w:rsidRDefault="006B6CEE" w:rsidP="006B6CEE">
      <w:pPr>
        <w:numPr>
          <w:ilvl w:val="0"/>
          <w:numId w:val="21"/>
        </w:numPr>
        <w:spacing w:after="200"/>
        <w:rPr>
          <w:rFonts w:eastAsia="Calibri"/>
          <w:b/>
          <w:sz w:val="22"/>
          <w:szCs w:val="22"/>
          <w:u w:val="single"/>
          <w:lang w:val="en-GB" w:eastAsia="en-US"/>
        </w:rPr>
      </w:pPr>
      <w:r w:rsidRPr="00637256">
        <w:rPr>
          <w:rFonts w:eastAsia="Calibri"/>
          <w:b/>
          <w:sz w:val="22"/>
          <w:szCs w:val="22"/>
          <w:u w:val="single"/>
          <w:lang w:val="en-GB" w:eastAsia="en-US"/>
        </w:rPr>
        <w:t>On what legal ground(s) do we process your personal data</w:t>
      </w:r>
    </w:p>
    <w:p w14:paraId="7C4848A4" w14:textId="1EF6DA59" w:rsidR="00A11E59" w:rsidRDefault="00A11E59" w:rsidP="00A11E59">
      <w:pPr>
        <w:rPr>
          <w:rFonts w:eastAsia="Calibri"/>
          <w:sz w:val="22"/>
          <w:szCs w:val="22"/>
          <w:lang w:val="en-GB" w:eastAsia="en-US"/>
        </w:rPr>
      </w:pPr>
      <w:r w:rsidRPr="00637256">
        <w:rPr>
          <w:rFonts w:eastAsia="Calibri"/>
          <w:sz w:val="22"/>
          <w:szCs w:val="22"/>
          <w:lang w:val="en-GB" w:eastAsia="en-US"/>
        </w:rPr>
        <w:t xml:space="preserve">The data processing is considered lawful because it is necessary for the </w:t>
      </w:r>
      <w:r w:rsidRPr="00637256">
        <w:rPr>
          <w:rFonts w:eastAsia="Calibri"/>
          <w:b/>
          <w:sz w:val="22"/>
          <w:szCs w:val="22"/>
          <w:lang w:val="en-GB" w:eastAsia="en-US"/>
        </w:rPr>
        <w:t>performance of tasks carried out in the public interest</w:t>
      </w:r>
      <w:r w:rsidRPr="00637256">
        <w:rPr>
          <w:rFonts w:eastAsia="Calibri"/>
          <w:sz w:val="22"/>
          <w:szCs w:val="22"/>
          <w:lang w:val="en-GB" w:eastAsia="en-US"/>
        </w:rPr>
        <w:t xml:space="preserve"> and in the exercise of official authority vested in the Union institution on the basis of:</w:t>
      </w:r>
    </w:p>
    <w:p w14:paraId="5989E764" w14:textId="53D3FE6A" w:rsidR="00A45CEF" w:rsidRPr="00637256" w:rsidRDefault="00C43897" w:rsidP="00A11E59">
      <w:pPr>
        <w:rPr>
          <w:rFonts w:eastAsia="Calibri"/>
          <w:sz w:val="22"/>
          <w:szCs w:val="22"/>
          <w:lang w:val="en-GB" w:eastAsia="en-US"/>
        </w:rPr>
      </w:pPr>
      <w:r w:rsidRPr="00637256">
        <w:rPr>
          <w:rFonts w:eastAsia="Calibri"/>
          <w:sz w:val="22"/>
          <w:szCs w:val="22"/>
          <w:lang w:val="en-GB" w:eastAsia="en-US"/>
        </w:rPr>
        <w:t xml:space="preserve">- </w:t>
      </w:r>
      <w:r w:rsidR="00A45CEF" w:rsidRPr="00637256">
        <w:rPr>
          <w:rFonts w:eastAsia="Calibri"/>
          <w:sz w:val="22"/>
          <w:szCs w:val="22"/>
          <w:lang w:val="en-GB" w:eastAsia="en-US"/>
        </w:rPr>
        <w:t xml:space="preserve">Treaty on the Functioning of the </w:t>
      </w:r>
      <w:r w:rsidR="004A26D0" w:rsidRPr="00637256">
        <w:rPr>
          <w:rFonts w:eastAsia="Calibri"/>
          <w:sz w:val="22"/>
          <w:szCs w:val="22"/>
          <w:lang w:val="en-GB" w:eastAsia="en-US"/>
        </w:rPr>
        <w:t>European Union (conso</w:t>
      </w:r>
      <w:r w:rsidR="00687E93" w:rsidRPr="00637256">
        <w:rPr>
          <w:rFonts w:eastAsia="Calibri"/>
          <w:sz w:val="22"/>
          <w:szCs w:val="22"/>
          <w:lang w:val="en-GB" w:eastAsia="en-US"/>
        </w:rPr>
        <w:t>lidated version, OJ C202/1, 7.</w:t>
      </w:r>
      <w:r w:rsidR="004A26D0" w:rsidRPr="00637256">
        <w:rPr>
          <w:rFonts w:eastAsia="Calibri"/>
          <w:sz w:val="22"/>
          <w:szCs w:val="22"/>
          <w:lang w:val="en-GB" w:eastAsia="en-US"/>
        </w:rPr>
        <w:t>6.2016, p.47). I</w:t>
      </w:r>
      <w:r w:rsidR="00A45CEF" w:rsidRPr="00637256">
        <w:rPr>
          <w:rFonts w:eastAsia="Calibri"/>
          <w:sz w:val="22"/>
          <w:szCs w:val="22"/>
          <w:lang w:val="en-GB" w:eastAsia="en-US"/>
        </w:rPr>
        <w:t>n parti</w:t>
      </w:r>
      <w:r w:rsidR="004A26D0" w:rsidRPr="00637256">
        <w:rPr>
          <w:rFonts w:eastAsia="Calibri"/>
          <w:sz w:val="22"/>
          <w:szCs w:val="22"/>
          <w:lang w:val="en-GB" w:eastAsia="en-US"/>
        </w:rPr>
        <w:t>cular Articles 208 - 213</w:t>
      </w:r>
      <w:r w:rsidR="00A45CEF" w:rsidRPr="00637256">
        <w:rPr>
          <w:rFonts w:eastAsia="Calibri"/>
          <w:sz w:val="22"/>
          <w:szCs w:val="22"/>
          <w:lang w:val="en-GB" w:eastAsia="en-US"/>
        </w:rPr>
        <w:t>;</w:t>
      </w:r>
    </w:p>
    <w:p w14:paraId="7C17C418" w14:textId="0D579C18" w:rsidR="00A11E59" w:rsidRPr="00637256" w:rsidRDefault="00A11E59" w:rsidP="00F86B09">
      <w:pPr>
        <w:rPr>
          <w:rFonts w:eastAsia="Calibri"/>
          <w:sz w:val="22"/>
          <w:szCs w:val="22"/>
          <w:lang w:val="en-GB" w:eastAsia="en-US"/>
        </w:rPr>
      </w:pPr>
      <w:r w:rsidRPr="00637256">
        <w:rPr>
          <w:rFonts w:eastAsia="Calibri"/>
          <w:sz w:val="22"/>
          <w:szCs w:val="22"/>
          <w:lang w:val="en-GB" w:eastAsia="en-US"/>
        </w:rPr>
        <w:t xml:space="preserve">- Regulation (EU, </w:t>
      </w:r>
      <w:proofErr w:type="spellStart"/>
      <w:r w:rsidRPr="00637256">
        <w:rPr>
          <w:rFonts w:eastAsia="Calibri"/>
          <w:sz w:val="22"/>
          <w:szCs w:val="22"/>
          <w:lang w:val="en-GB" w:eastAsia="en-US"/>
        </w:rPr>
        <w:t>Euratom</w:t>
      </w:r>
      <w:proofErr w:type="spellEnd"/>
      <w:r w:rsidRPr="00637256">
        <w:rPr>
          <w:rFonts w:eastAsia="Calibri"/>
          <w:sz w:val="22"/>
          <w:szCs w:val="22"/>
          <w:lang w:val="en-GB" w:eastAsia="en-US"/>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637256">
        <w:rPr>
          <w:rFonts w:eastAsia="Calibri"/>
          <w:sz w:val="22"/>
          <w:szCs w:val="22"/>
          <w:lang w:val="en-GB" w:eastAsia="en-US"/>
        </w:rPr>
        <w:t>Euratom</w:t>
      </w:r>
      <w:proofErr w:type="spellEnd"/>
      <w:r w:rsidRPr="00637256">
        <w:rPr>
          <w:rFonts w:eastAsia="Calibri"/>
          <w:sz w:val="22"/>
          <w:szCs w:val="22"/>
          <w:lang w:val="en-GB" w:eastAsia="en-US"/>
        </w:rPr>
        <w:t>) No 966/2012 (OJ L 193, 30.7.2018, p.1)</w:t>
      </w:r>
      <w:r w:rsidR="00A54D55" w:rsidRPr="00637256">
        <w:rPr>
          <w:rFonts w:eastAsia="Calibri"/>
          <w:sz w:val="22"/>
          <w:szCs w:val="22"/>
          <w:lang w:val="en-GB" w:eastAsia="en-US"/>
        </w:rPr>
        <w:t xml:space="preserve"> – hereafter the ‘</w:t>
      </w:r>
      <w:r w:rsidR="004A26D0" w:rsidRPr="00637256">
        <w:rPr>
          <w:rFonts w:eastAsia="Calibri"/>
          <w:sz w:val="22"/>
          <w:szCs w:val="22"/>
          <w:lang w:val="en-GB" w:eastAsia="en-US"/>
        </w:rPr>
        <w:t xml:space="preserve">EU </w:t>
      </w:r>
      <w:r w:rsidR="00A54D55" w:rsidRPr="00637256">
        <w:rPr>
          <w:rFonts w:eastAsia="Calibri"/>
          <w:sz w:val="22"/>
          <w:szCs w:val="22"/>
          <w:lang w:val="en-GB" w:eastAsia="en-US"/>
        </w:rPr>
        <w:t>Financial Regulation’</w:t>
      </w:r>
      <w:r w:rsidR="00F86B09" w:rsidRPr="00637256">
        <w:rPr>
          <w:rFonts w:eastAsia="Calibri"/>
          <w:sz w:val="22"/>
          <w:szCs w:val="22"/>
          <w:lang w:val="en-GB" w:eastAsia="en-US"/>
        </w:rPr>
        <w:t>.</w:t>
      </w:r>
      <w:r w:rsidR="004A26D0" w:rsidRPr="00637256">
        <w:rPr>
          <w:rFonts w:eastAsia="Calibri"/>
          <w:sz w:val="22"/>
          <w:szCs w:val="22"/>
          <w:lang w:val="en-GB" w:eastAsia="en-US"/>
        </w:rPr>
        <w:t xml:space="preserve"> In particular, Title I</w:t>
      </w:r>
      <w:r w:rsidR="00F86B09" w:rsidRPr="00637256">
        <w:rPr>
          <w:rFonts w:eastAsia="Calibri"/>
          <w:sz w:val="22"/>
          <w:szCs w:val="22"/>
          <w:lang w:val="en-GB" w:eastAsia="en-US"/>
        </w:rPr>
        <w:t xml:space="preserve"> (Subject matter, definitions and general principle</w:t>
      </w:r>
      <w:r w:rsidR="004A26D0" w:rsidRPr="00637256">
        <w:rPr>
          <w:rFonts w:eastAsia="Calibri"/>
          <w:sz w:val="22"/>
          <w:szCs w:val="22"/>
          <w:lang w:val="en-GB" w:eastAsia="en-US"/>
        </w:rPr>
        <w:t xml:space="preserve">), Title IV </w:t>
      </w:r>
      <w:r w:rsidR="00F86B09" w:rsidRPr="00637256">
        <w:rPr>
          <w:rFonts w:eastAsia="Calibri"/>
          <w:sz w:val="22"/>
          <w:szCs w:val="22"/>
          <w:lang w:val="en-GB" w:eastAsia="en-US"/>
        </w:rPr>
        <w:t>(Budget implementation)</w:t>
      </w:r>
      <w:r w:rsidR="00F86B09" w:rsidRPr="00637256">
        <w:rPr>
          <w:sz w:val="22"/>
          <w:szCs w:val="22"/>
          <w:lang w:val="en-IE"/>
        </w:rPr>
        <w:t xml:space="preserve">, </w:t>
      </w:r>
      <w:r w:rsidR="00F86B09" w:rsidRPr="00637256">
        <w:rPr>
          <w:rFonts w:eastAsia="Calibri"/>
          <w:sz w:val="22"/>
          <w:szCs w:val="22"/>
          <w:lang w:val="en-GB" w:eastAsia="en-US"/>
        </w:rPr>
        <w:t xml:space="preserve">Title V (Common Rules), Title VII </w:t>
      </w:r>
      <w:r w:rsidR="00F86B09" w:rsidRPr="00637256">
        <w:rPr>
          <w:rFonts w:eastAsia="Calibri"/>
          <w:sz w:val="22"/>
          <w:szCs w:val="22"/>
          <w:lang w:val="en-GB" w:eastAsia="en-US"/>
        </w:rPr>
        <w:lastRenderedPageBreak/>
        <w:t>(Procurement and Concessions), Title VIII (Grants), Title XII (Other Budget</w:t>
      </w:r>
      <w:r w:rsidR="00C43897" w:rsidRPr="00637256">
        <w:rPr>
          <w:rFonts w:eastAsia="Calibri"/>
          <w:sz w:val="22"/>
          <w:szCs w:val="22"/>
          <w:lang w:val="en-GB" w:eastAsia="en-US"/>
        </w:rPr>
        <w:t xml:space="preserve"> </w:t>
      </w:r>
      <w:r w:rsidR="00F86B09" w:rsidRPr="00637256">
        <w:rPr>
          <w:rFonts w:eastAsia="Calibri"/>
          <w:sz w:val="22"/>
          <w:szCs w:val="22"/>
          <w:lang w:val="en-GB" w:eastAsia="en-US"/>
        </w:rPr>
        <w:t>Implementation Instruments</w:t>
      </w:r>
      <w:r w:rsidR="00C43897" w:rsidRPr="00637256">
        <w:rPr>
          <w:rFonts w:eastAsia="Calibri"/>
          <w:sz w:val="22"/>
          <w:szCs w:val="22"/>
          <w:lang w:val="en-GB" w:eastAsia="en-US"/>
        </w:rPr>
        <w:t>)</w:t>
      </w:r>
      <w:r w:rsidR="00E53340">
        <w:rPr>
          <w:rStyle w:val="FootnoteReference"/>
          <w:rFonts w:eastAsia="Calibri"/>
          <w:sz w:val="22"/>
          <w:szCs w:val="22"/>
          <w:lang w:val="en-GB" w:eastAsia="en-US"/>
        </w:rPr>
        <w:footnoteReference w:id="3"/>
      </w:r>
      <w:r w:rsidR="00F86B09" w:rsidRPr="00637256">
        <w:rPr>
          <w:rFonts w:eastAsia="Calibri"/>
          <w:sz w:val="22"/>
          <w:szCs w:val="22"/>
          <w:lang w:val="en-GB" w:eastAsia="en-US"/>
        </w:rPr>
        <w:t>;</w:t>
      </w:r>
    </w:p>
    <w:p w14:paraId="52EE27C7" w14:textId="779A7122" w:rsidR="00FC54AB" w:rsidRPr="00637256" w:rsidRDefault="00FC54AB" w:rsidP="00FC54AB">
      <w:pPr>
        <w:rPr>
          <w:rFonts w:eastAsia="Calibri"/>
          <w:sz w:val="22"/>
          <w:szCs w:val="22"/>
          <w:lang w:val="en-GB" w:eastAsia="en-US"/>
        </w:rPr>
      </w:pPr>
      <w:r w:rsidRPr="00637256">
        <w:rPr>
          <w:rFonts w:eastAsia="Calibri"/>
          <w:sz w:val="22"/>
          <w:szCs w:val="22"/>
          <w:lang w:val="en-GB" w:eastAsia="en-US"/>
        </w:rPr>
        <w:t>- Regulation (EU) 2021/947 of the European Parliament and of the Council of 9 June 2021 establishing the Neighbourhood, Development and Inter</w:t>
      </w:r>
      <w:r w:rsidR="00687E93" w:rsidRPr="00637256">
        <w:rPr>
          <w:rFonts w:eastAsia="Calibri"/>
          <w:sz w:val="22"/>
          <w:szCs w:val="22"/>
          <w:lang w:val="en-GB" w:eastAsia="en-US"/>
        </w:rPr>
        <w:t xml:space="preserve">national Cooperation Instrument </w:t>
      </w:r>
      <w:r w:rsidRPr="00637256">
        <w:rPr>
          <w:rFonts w:eastAsia="Calibri"/>
          <w:sz w:val="22"/>
          <w:szCs w:val="22"/>
          <w:lang w:val="en-GB" w:eastAsia="en-US"/>
        </w:rPr>
        <w:t xml:space="preserve">– Global Europe, amending and repealing Decision No 466/2014/EU and repealing Regulation (EU) 2017/1601 and Council Regulation (EC, </w:t>
      </w:r>
      <w:proofErr w:type="spellStart"/>
      <w:r w:rsidRPr="00637256">
        <w:rPr>
          <w:rFonts w:eastAsia="Calibri"/>
          <w:sz w:val="22"/>
          <w:szCs w:val="22"/>
          <w:lang w:val="en-GB" w:eastAsia="en-US"/>
        </w:rPr>
        <w:t>Euratom</w:t>
      </w:r>
      <w:proofErr w:type="spellEnd"/>
      <w:r w:rsidRPr="00637256">
        <w:rPr>
          <w:rFonts w:eastAsia="Calibri"/>
          <w:sz w:val="22"/>
          <w:szCs w:val="22"/>
          <w:lang w:val="en-GB" w:eastAsia="en-US"/>
        </w:rPr>
        <w:t>) No 480/2009 (OJ L 209, 14.6.2021</w:t>
      </w:r>
      <w:r w:rsidR="00C43897" w:rsidRPr="00637256">
        <w:rPr>
          <w:rFonts w:eastAsia="Calibri"/>
          <w:sz w:val="22"/>
          <w:szCs w:val="22"/>
          <w:lang w:val="en-GB" w:eastAsia="en-US"/>
        </w:rPr>
        <w:t>, p.1</w:t>
      </w:r>
      <w:r w:rsidRPr="00637256">
        <w:rPr>
          <w:rFonts w:eastAsia="Calibri"/>
          <w:sz w:val="22"/>
          <w:szCs w:val="22"/>
          <w:lang w:val="en-GB" w:eastAsia="en-US"/>
        </w:rPr>
        <w:t xml:space="preserve">); </w:t>
      </w:r>
    </w:p>
    <w:p w14:paraId="36CACB20" w14:textId="7878D63C" w:rsidR="00A11E59" w:rsidRPr="00637256" w:rsidRDefault="00A11E59" w:rsidP="00A11E59">
      <w:pPr>
        <w:rPr>
          <w:rFonts w:eastAsia="Calibri"/>
          <w:sz w:val="22"/>
          <w:szCs w:val="22"/>
          <w:lang w:val="en-GB" w:eastAsia="en-US"/>
        </w:rPr>
      </w:pPr>
      <w:r w:rsidRPr="00637256">
        <w:rPr>
          <w:rFonts w:eastAsia="Calibri"/>
          <w:sz w:val="22"/>
          <w:szCs w:val="22"/>
          <w:lang w:val="en-GB" w:eastAsia="en-US"/>
        </w:rPr>
        <w:t>- Regulation (EU) No 236/2014 of the European Parliament and of the Council of 11 March 2014 laying down common rules and procedures for the implementation of the Union's instruments for financing external action (CIR) (OJ L 342, 29.12.2015, p. 7)</w:t>
      </w:r>
      <w:r w:rsidR="006F2151" w:rsidRPr="00637256">
        <w:rPr>
          <w:rFonts w:eastAsia="Calibri"/>
          <w:sz w:val="22"/>
          <w:szCs w:val="22"/>
          <w:lang w:val="en-GB" w:eastAsia="en-US"/>
        </w:rPr>
        <w:t>.</w:t>
      </w:r>
    </w:p>
    <w:p w14:paraId="1CDF4E96" w14:textId="77777777" w:rsidR="00D362D4" w:rsidRPr="00637256" w:rsidRDefault="00D362D4" w:rsidP="00D362D4">
      <w:pPr>
        <w:rPr>
          <w:rFonts w:eastAsia="Calibri"/>
          <w:b/>
          <w:sz w:val="22"/>
          <w:szCs w:val="22"/>
          <w:lang w:val="en-GB" w:eastAsia="en-US"/>
        </w:rPr>
      </w:pPr>
      <w:r w:rsidRPr="00393CF8">
        <w:rPr>
          <w:rFonts w:eastAsia="Calibri"/>
          <w:b/>
          <w:sz w:val="22"/>
          <w:szCs w:val="22"/>
          <w:highlight w:val="yellow"/>
          <w:lang w:val="en-GB" w:eastAsia="en-US"/>
        </w:rPr>
        <w:t xml:space="preserve">DG </w:t>
      </w:r>
      <w:r w:rsidR="00B63152" w:rsidRPr="00393CF8">
        <w:rPr>
          <w:rFonts w:eastAsia="Calibri"/>
          <w:b/>
          <w:sz w:val="22"/>
          <w:szCs w:val="22"/>
          <w:highlight w:val="yellow"/>
          <w:lang w:val="en-GB" w:eastAsia="en-US"/>
        </w:rPr>
        <w:t>INTPA</w:t>
      </w:r>
    </w:p>
    <w:p w14:paraId="3DD6A0AA" w14:textId="585A2F42" w:rsidR="00A11E59" w:rsidRPr="00393CF8" w:rsidRDefault="00393CF8" w:rsidP="00A11E59">
      <w:pPr>
        <w:rPr>
          <w:rFonts w:eastAsia="Calibri"/>
          <w:sz w:val="22"/>
          <w:szCs w:val="22"/>
          <w:highlight w:val="lightGray"/>
          <w:lang w:val="en-GB" w:eastAsia="en-US"/>
        </w:rPr>
      </w:pPr>
      <w:r w:rsidRPr="00F8704C">
        <w:rPr>
          <w:rFonts w:eastAsia="Calibri"/>
          <w:sz w:val="22"/>
          <w:szCs w:val="22"/>
          <w:lang w:val="en-GB" w:eastAsia="en-US"/>
        </w:rPr>
        <w:t>[</w:t>
      </w:r>
      <w:r w:rsidR="00A11E59" w:rsidRPr="00393CF8">
        <w:rPr>
          <w:rFonts w:eastAsia="Calibri"/>
          <w:sz w:val="22"/>
          <w:szCs w:val="22"/>
          <w:highlight w:val="lightGray"/>
          <w:lang w:val="en-GB" w:eastAsia="en-US"/>
        </w:rPr>
        <w:t xml:space="preserve">- Regulation (EU) No 233/2014 of the European Parliament and of the Council of 11 March 2014 establishing a financing instrument for development cooperation for the period 2014-2020 (OJ L </w:t>
      </w:r>
      <w:r w:rsidR="00687E93" w:rsidRPr="00393CF8">
        <w:rPr>
          <w:rFonts w:eastAsia="Calibri"/>
          <w:sz w:val="22"/>
          <w:szCs w:val="22"/>
          <w:highlight w:val="lightGray"/>
          <w:lang w:val="en-GB" w:eastAsia="en-US"/>
        </w:rPr>
        <w:t>77, 15.</w:t>
      </w:r>
      <w:r w:rsidR="00A11E59" w:rsidRPr="00393CF8">
        <w:rPr>
          <w:rFonts w:eastAsia="Calibri"/>
          <w:sz w:val="22"/>
          <w:szCs w:val="22"/>
          <w:highlight w:val="lightGray"/>
          <w:lang w:val="en-GB" w:eastAsia="en-US"/>
        </w:rPr>
        <w:t>3.2014, p. 44);</w:t>
      </w:r>
    </w:p>
    <w:p w14:paraId="6DDE813B" w14:textId="7AC9C291" w:rsidR="00A11E59" w:rsidRPr="00393CF8" w:rsidRDefault="00A11E59" w:rsidP="00A11E59">
      <w:pPr>
        <w:rPr>
          <w:rFonts w:eastAsia="Calibri"/>
          <w:sz w:val="22"/>
          <w:szCs w:val="22"/>
          <w:highlight w:val="lightGray"/>
          <w:lang w:val="en-GB" w:eastAsia="en-US"/>
        </w:rPr>
      </w:pPr>
      <w:r w:rsidRPr="00393CF8">
        <w:rPr>
          <w:rFonts w:eastAsia="Calibri"/>
          <w:sz w:val="22"/>
          <w:szCs w:val="22"/>
          <w:highlight w:val="lightGray"/>
          <w:lang w:val="en-GB" w:eastAsia="en-US"/>
        </w:rPr>
        <w:t>- Regulation (EU) No 235/2014 of the European Parliament and of the Council of 11 March 2014 establishing a financing instrument for democracy and human</w:t>
      </w:r>
      <w:r w:rsidR="00687E93" w:rsidRPr="00393CF8">
        <w:rPr>
          <w:rFonts w:eastAsia="Calibri"/>
          <w:sz w:val="22"/>
          <w:szCs w:val="22"/>
          <w:highlight w:val="lightGray"/>
          <w:lang w:val="en-GB" w:eastAsia="en-US"/>
        </w:rPr>
        <w:t xml:space="preserve"> rights worldwide (OJ L 77, 15.</w:t>
      </w:r>
      <w:r w:rsidRPr="00393CF8">
        <w:rPr>
          <w:rFonts w:eastAsia="Calibri"/>
          <w:sz w:val="22"/>
          <w:szCs w:val="22"/>
          <w:highlight w:val="lightGray"/>
          <w:lang w:val="en-GB" w:eastAsia="en-US"/>
        </w:rPr>
        <w:t>3.2014, p. 85);</w:t>
      </w:r>
    </w:p>
    <w:p w14:paraId="0C10AEB8" w14:textId="254DD962" w:rsidR="00A11E59" w:rsidRPr="00393CF8" w:rsidRDefault="00A11E59" w:rsidP="00A11E59">
      <w:pPr>
        <w:rPr>
          <w:rFonts w:eastAsia="Calibri"/>
          <w:sz w:val="22"/>
          <w:szCs w:val="22"/>
          <w:highlight w:val="lightGray"/>
          <w:lang w:val="en-GB" w:eastAsia="en-US"/>
        </w:rPr>
      </w:pPr>
      <w:r w:rsidRPr="00393CF8">
        <w:rPr>
          <w:rFonts w:eastAsia="Calibri"/>
          <w:sz w:val="22"/>
          <w:szCs w:val="22"/>
          <w:highlight w:val="lightGray"/>
          <w:lang w:val="en-GB" w:eastAsia="en-US"/>
        </w:rPr>
        <w:t>- Regulation (EU) No 230/2014 of the European Parliament and of the Council of 11 March 2014 establishing an instrument contributing to st</w:t>
      </w:r>
      <w:r w:rsidR="00687E93" w:rsidRPr="00393CF8">
        <w:rPr>
          <w:rFonts w:eastAsia="Calibri"/>
          <w:sz w:val="22"/>
          <w:szCs w:val="22"/>
          <w:highlight w:val="lightGray"/>
          <w:lang w:val="en-GB" w:eastAsia="en-US"/>
        </w:rPr>
        <w:t>ability and peace (OJ L 77, 15.</w:t>
      </w:r>
      <w:r w:rsidRPr="00393CF8">
        <w:rPr>
          <w:rFonts w:eastAsia="Calibri"/>
          <w:sz w:val="22"/>
          <w:szCs w:val="22"/>
          <w:highlight w:val="lightGray"/>
          <w:lang w:val="en-GB" w:eastAsia="en-US"/>
        </w:rPr>
        <w:t>3.2014, p. 1);</w:t>
      </w:r>
    </w:p>
    <w:p w14:paraId="770B8D1A" w14:textId="0019AFD5" w:rsidR="00A11E59" w:rsidRPr="00393CF8" w:rsidRDefault="00A11E59" w:rsidP="00A11E59">
      <w:pPr>
        <w:rPr>
          <w:rFonts w:eastAsia="Calibri"/>
          <w:sz w:val="22"/>
          <w:szCs w:val="22"/>
          <w:highlight w:val="lightGray"/>
          <w:lang w:val="en-GB" w:eastAsia="en-US"/>
        </w:rPr>
      </w:pPr>
      <w:r w:rsidRPr="00393CF8">
        <w:rPr>
          <w:rFonts w:eastAsia="Calibri"/>
          <w:sz w:val="22"/>
          <w:szCs w:val="22"/>
          <w:highlight w:val="lightGray"/>
          <w:lang w:val="en-GB" w:eastAsia="en-US"/>
        </w:rPr>
        <w:t>- Council Regulation (</w:t>
      </w:r>
      <w:proofErr w:type="spellStart"/>
      <w:r w:rsidRPr="00393CF8">
        <w:rPr>
          <w:rFonts w:eastAsia="Calibri"/>
          <w:sz w:val="22"/>
          <w:szCs w:val="22"/>
          <w:highlight w:val="lightGray"/>
          <w:lang w:val="en-GB" w:eastAsia="en-US"/>
        </w:rPr>
        <w:t>Euratom</w:t>
      </w:r>
      <w:proofErr w:type="spellEnd"/>
      <w:r w:rsidRPr="00393CF8">
        <w:rPr>
          <w:rFonts w:eastAsia="Calibri"/>
          <w:sz w:val="22"/>
          <w:szCs w:val="22"/>
          <w:highlight w:val="lightGray"/>
          <w:lang w:val="en-GB" w:eastAsia="en-US"/>
        </w:rPr>
        <w:t>) No 237/2014 of 13 December 2013 establishing an instrument for nuclear s</w:t>
      </w:r>
      <w:r w:rsidR="00687E93" w:rsidRPr="00393CF8">
        <w:rPr>
          <w:rFonts w:eastAsia="Calibri"/>
          <w:sz w:val="22"/>
          <w:szCs w:val="22"/>
          <w:highlight w:val="lightGray"/>
          <w:lang w:val="en-GB" w:eastAsia="en-US"/>
        </w:rPr>
        <w:t>afety cooperation (OJ L 77, 15.</w:t>
      </w:r>
      <w:r w:rsidRPr="00393CF8">
        <w:rPr>
          <w:rFonts w:eastAsia="Calibri"/>
          <w:sz w:val="22"/>
          <w:szCs w:val="22"/>
          <w:highlight w:val="lightGray"/>
          <w:lang w:val="en-GB" w:eastAsia="en-US"/>
        </w:rPr>
        <w:t>3.2014, p. 109);</w:t>
      </w:r>
    </w:p>
    <w:p w14:paraId="41F97D14" w14:textId="560F0F3A" w:rsidR="007C029A" w:rsidRPr="00393CF8" w:rsidRDefault="007C029A" w:rsidP="00A11E59">
      <w:pPr>
        <w:rPr>
          <w:rFonts w:eastAsia="Calibri"/>
          <w:sz w:val="22"/>
          <w:szCs w:val="22"/>
          <w:highlight w:val="lightGray"/>
          <w:lang w:val="en-GB" w:eastAsia="en-US"/>
        </w:rPr>
      </w:pPr>
      <w:r w:rsidRPr="00393CF8">
        <w:rPr>
          <w:rFonts w:eastAsia="Calibri"/>
          <w:sz w:val="22"/>
          <w:szCs w:val="22"/>
          <w:highlight w:val="lightGray"/>
          <w:lang w:val="en-GB" w:eastAsia="en-US"/>
        </w:rPr>
        <w:t>- Council Regulation (</w:t>
      </w:r>
      <w:proofErr w:type="spellStart"/>
      <w:r w:rsidRPr="00393CF8">
        <w:rPr>
          <w:rFonts w:eastAsia="Calibri"/>
          <w:sz w:val="22"/>
          <w:szCs w:val="22"/>
          <w:highlight w:val="lightGray"/>
          <w:lang w:val="en-GB" w:eastAsia="en-US"/>
        </w:rPr>
        <w:t>Euratom</w:t>
      </w:r>
      <w:proofErr w:type="spellEnd"/>
      <w:r w:rsidRPr="00393CF8">
        <w:rPr>
          <w:rFonts w:eastAsia="Calibri"/>
          <w:sz w:val="22"/>
          <w:szCs w:val="22"/>
          <w:highlight w:val="lightGray"/>
          <w:lang w:val="en-GB" w:eastAsia="en-US"/>
        </w:rPr>
        <w:t>)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w:t>
      </w:r>
      <w:proofErr w:type="spellStart"/>
      <w:r w:rsidRPr="00393CF8">
        <w:rPr>
          <w:rFonts w:eastAsia="Calibri"/>
          <w:sz w:val="22"/>
          <w:szCs w:val="22"/>
          <w:highlight w:val="lightGray"/>
          <w:lang w:val="en-GB" w:eastAsia="en-US"/>
        </w:rPr>
        <w:t>Euratom</w:t>
      </w:r>
      <w:proofErr w:type="spellEnd"/>
      <w:r w:rsidRPr="00393CF8">
        <w:rPr>
          <w:rFonts w:eastAsia="Calibri"/>
          <w:sz w:val="22"/>
          <w:szCs w:val="22"/>
          <w:highlight w:val="lightGray"/>
          <w:lang w:val="en-GB" w:eastAsia="en-US"/>
        </w:rPr>
        <w:t>) No 237/2014 (OJ L 209, 14.6.2021, p.79);</w:t>
      </w:r>
    </w:p>
    <w:p w14:paraId="2A96A94F" w14:textId="77777777" w:rsidR="007C029A" w:rsidRPr="00393CF8" w:rsidRDefault="00A11E59" w:rsidP="00A11E59">
      <w:pPr>
        <w:rPr>
          <w:rFonts w:eastAsia="Calibri"/>
          <w:sz w:val="22"/>
          <w:szCs w:val="22"/>
          <w:highlight w:val="lightGray"/>
          <w:lang w:val="en-GB" w:eastAsia="en-US"/>
        </w:rPr>
      </w:pPr>
      <w:r w:rsidRPr="00393CF8">
        <w:rPr>
          <w:rFonts w:eastAsia="Calibri"/>
          <w:sz w:val="22"/>
          <w:szCs w:val="22"/>
          <w:highlight w:val="lightGray"/>
          <w:lang w:val="en-GB" w:eastAsia="en-US"/>
        </w:rPr>
        <w:t>- Council Decision 2014/137/EU of 14 March 2014 on relations between the European Union on the one hand, and Greenland and the Kingdom of Denmark on the other (OJ L 76, 15.3.2014, p. 1)</w:t>
      </w:r>
      <w:r w:rsidR="00FE36E8" w:rsidRPr="00393CF8">
        <w:rPr>
          <w:rFonts w:eastAsia="Calibri"/>
          <w:sz w:val="22"/>
          <w:szCs w:val="22"/>
          <w:highlight w:val="lightGray"/>
          <w:lang w:val="en-GB" w:eastAsia="en-US"/>
        </w:rPr>
        <w:t>;</w:t>
      </w:r>
    </w:p>
    <w:p w14:paraId="11310A7F" w14:textId="25658F5B" w:rsidR="00A11E59" w:rsidRPr="00393CF8" w:rsidRDefault="007C029A" w:rsidP="00A11E59">
      <w:pPr>
        <w:rPr>
          <w:rFonts w:eastAsia="Calibri"/>
          <w:sz w:val="22"/>
          <w:szCs w:val="22"/>
          <w:highlight w:val="lightGray"/>
          <w:lang w:val="en-GB" w:eastAsia="en-US"/>
        </w:rPr>
      </w:pPr>
      <w:r w:rsidRPr="00393CF8">
        <w:rPr>
          <w:rFonts w:eastAsia="Calibri"/>
          <w:sz w:val="22"/>
          <w:szCs w:val="22"/>
          <w:highlight w:val="lightGray"/>
          <w:lang w:val="en-GB" w:eastAsia="en-US"/>
        </w:rPr>
        <w:t>- Council Decision (EU) 2021/1764 of 5 October 2021 on the association of the Overseas Countries and Territories with the European Union including relations between the European Union on the one hand, and Greenland and the Kingdom of Denmark on the other (Decision on the Overseas Association, including Greenland), OJ L 355, 7.10.2021, p. 6;</w:t>
      </w:r>
    </w:p>
    <w:p w14:paraId="216C5AEB" w14:textId="77777777" w:rsidR="00A11E59" w:rsidRPr="00393CF8" w:rsidRDefault="00A11E59" w:rsidP="00A11E59">
      <w:pPr>
        <w:rPr>
          <w:rFonts w:eastAsia="Calibri"/>
          <w:sz w:val="22"/>
          <w:szCs w:val="22"/>
          <w:highlight w:val="lightGray"/>
          <w:lang w:val="en-GB" w:eastAsia="en-US"/>
        </w:rPr>
      </w:pPr>
      <w:r w:rsidRPr="00393CF8">
        <w:rPr>
          <w:rFonts w:eastAsia="Calibri"/>
          <w:sz w:val="22"/>
          <w:szCs w:val="22"/>
          <w:highlight w:val="lightGray"/>
          <w:lang w:val="en-GB" w:eastAsia="en-US"/>
        </w:rPr>
        <w:t xml:space="preserve">- Partnership Agreement between the members of the African, Caribbean and Pacific Group of States, of the one part and the European Community and its Member States, of the other part, signed in </w:t>
      </w:r>
      <w:proofErr w:type="spellStart"/>
      <w:r w:rsidRPr="00393CF8">
        <w:rPr>
          <w:rFonts w:eastAsia="Calibri"/>
          <w:sz w:val="22"/>
          <w:szCs w:val="22"/>
          <w:highlight w:val="lightGray"/>
          <w:lang w:val="en-GB" w:eastAsia="en-US"/>
        </w:rPr>
        <w:t>Cotonou</w:t>
      </w:r>
      <w:proofErr w:type="spellEnd"/>
      <w:r w:rsidRPr="00393CF8">
        <w:rPr>
          <w:rFonts w:eastAsia="Calibri"/>
          <w:sz w:val="22"/>
          <w:szCs w:val="22"/>
          <w:highlight w:val="lightGray"/>
          <w:lang w:val="en-GB" w:eastAsia="en-US"/>
        </w:rPr>
        <w:t xml:space="preserve"> on 23 June 2000 (OJ L 317, 15.12.2000, p. 3.), as first amended in Luxembourg on 25 June 2005 (OJ L 287, 28.10.2005, p. 4) and as amended for the second time in Ouagadougou on 22 June 2010 including its annex IV (OJ L 287, 4.11.2010, p. 3);</w:t>
      </w:r>
    </w:p>
    <w:p w14:paraId="54E8A65D" w14:textId="77777777" w:rsidR="00A11E59" w:rsidRPr="00393CF8" w:rsidRDefault="00A11E59" w:rsidP="00A11E59">
      <w:pPr>
        <w:rPr>
          <w:rFonts w:eastAsia="Calibri"/>
          <w:sz w:val="22"/>
          <w:szCs w:val="22"/>
          <w:highlight w:val="lightGray"/>
          <w:lang w:val="en-GB" w:eastAsia="en-US"/>
        </w:rPr>
      </w:pPr>
      <w:r w:rsidRPr="00393CF8">
        <w:rPr>
          <w:rFonts w:eastAsia="Calibri"/>
          <w:sz w:val="22"/>
          <w:szCs w:val="22"/>
          <w:highlight w:val="lightGray"/>
          <w:lang w:val="en-GB" w:eastAsia="en-US"/>
        </w:rPr>
        <w:t xml:space="preserve">- Council Regulation (EU) 2018/1877 of 26 November 2018 on the financial regulation applicable to the 11th European Development Fund, and repealing Regulation (EU) 2015/323, (OJ L 307, 3.12.2018, p. 1); </w:t>
      </w:r>
    </w:p>
    <w:p w14:paraId="7C431213" w14:textId="26A2EA21" w:rsidR="00A11E59" w:rsidRPr="00637256" w:rsidRDefault="00A11E59" w:rsidP="00A11E59">
      <w:pPr>
        <w:rPr>
          <w:rFonts w:eastAsia="Calibri"/>
          <w:sz w:val="22"/>
          <w:szCs w:val="22"/>
          <w:lang w:val="en-GB" w:eastAsia="en-US"/>
        </w:rPr>
      </w:pPr>
      <w:r w:rsidRPr="00393CF8">
        <w:rPr>
          <w:rFonts w:eastAsia="Calibri"/>
          <w:sz w:val="22"/>
          <w:szCs w:val="22"/>
          <w:highlight w:val="lightGray"/>
          <w:lang w:val="en-GB" w:eastAsia="en-US"/>
        </w:rPr>
        <w:lastRenderedPageBreak/>
        <w:t>- Council Regulation (EU) 2015/322 of 2 March 2015 on the implementation of the 11th European</w:t>
      </w:r>
      <w:r w:rsidR="00687E93" w:rsidRPr="00393CF8">
        <w:rPr>
          <w:rFonts w:eastAsia="Calibri"/>
          <w:sz w:val="22"/>
          <w:szCs w:val="22"/>
          <w:highlight w:val="lightGray"/>
          <w:lang w:val="en-GB" w:eastAsia="en-US"/>
        </w:rPr>
        <w:t xml:space="preserve"> Development Fund (OJ L 58, 3.</w:t>
      </w:r>
      <w:r w:rsidRPr="00393CF8">
        <w:rPr>
          <w:rFonts w:eastAsia="Calibri"/>
          <w:sz w:val="22"/>
          <w:szCs w:val="22"/>
          <w:highlight w:val="lightGray"/>
          <w:lang w:val="en-GB" w:eastAsia="en-US"/>
        </w:rPr>
        <w:t>3.2015, p. 17</w:t>
      </w:r>
      <w:r w:rsidRPr="0008433E">
        <w:rPr>
          <w:rFonts w:eastAsia="Calibri"/>
          <w:sz w:val="22"/>
          <w:szCs w:val="22"/>
          <w:highlight w:val="lightGray"/>
          <w:lang w:val="en-GB" w:eastAsia="en-US"/>
        </w:rPr>
        <w:t>)</w:t>
      </w:r>
      <w:r w:rsidR="00FE36E8" w:rsidRPr="00F8704C">
        <w:rPr>
          <w:rFonts w:eastAsia="Calibri"/>
          <w:sz w:val="22"/>
          <w:szCs w:val="22"/>
          <w:highlight w:val="lightGray"/>
          <w:lang w:val="en-GB" w:eastAsia="en-US"/>
        </w:rPr>
        <w:t>.</w:t>
      </w:r>
      <w:r w:rsidR="00393CF8" w:rsidRPr="0008433E">
        <w:rPr>
          <w:rFonts w:eastAsia="Calibri"/>
          <w:sz w:val="22"/>
          <w:szCs w:val="22"/>
          <w:lang w:val="en-GB" w:eastAsia="en-US"/>
        </w:rPr>
        <w:t>]</w:t>
      </w:r>
    </w:p>
    <w:p w14:paraId="3419705E" w14:textId="77777777" w:rsidR="00D362D4" w:rsidRPr="00637256" w:rsidRDefault="00D362D4" w:rsidP="00A11E59">
      <w:pPr>
        <w:rPr>
          <w:rFonts w:eastAsia="Calibri"/>
          <w:b/>
          <w:sz w:val="22"/>
          <w:szCs w:val="22"/>
          <w:lang w:val="en-GB" w:eastAsia="en-US"/>
        </w:rPr>
      </w:pPr>
      <w:r w:rsidRPr="00393CF8">
        <w:rPr>
          <w:rFonts w:eastAsia="Calibri"/>
          <w:b/>
          <w:sz w:val="22"/>
          <w:szCs w:val="22"/>
          <w:highlight w:val="yellow"/>
          <w:lang w:val="en-GB" w:eastAsia="en-US"/>
        </w:rPr>
        <w:t>DG NEAR</w:t>
      </w:r>
    </w:p>
    <w:p w14:paraId="12FA570A" w14:textId="22DC0078" w:rsidR="007A1096" w:rsidRPr="00393CF8" w:rsidRDefault="00393CF8" w:rsidP="007A1096">
      <w:pPr>
        <w:rPr>
          <w:rFonts w:eastAsia="Calibri"/>
          <w:sz w:val="22"/>
          <w:szCs w:val="22"/>
          <w:highlight w:val="lightGray"/>
          <w:lang w:val="en-GB" w:eastAsia="en-US"/>
        </w:rPr>
      </w:pPr>
      <w:r w:rsidRPr="00393CF8">
        <w:rPr>
          <w:rFonts w:eastAsia="Calibri"/>
          <w:sz w:val="22"/>
          <w:szCs w:val="22"/>
          <w:lang w:val="en-GB" w:eastAsia="en-US"/>
        </w:rPr>
        <w:t>[</w:t>
      </w:r>
      <w:r w:rsidR="007A1096" w:rsidRPr="00393CF8">
        <w:rPr>
          <w:rFonts w:eastAsia="Calibri"/>
          <w:sz w:val="22"/>
          <w:szCs w:val="22"/>
          <w:highlight w:val="lightGray"/>
          <w:lang w:val="en-GB" w:eastAsia="en-US"/>
        </w:rPr>
        <w:t>- Regulation (EU) 2021/1529 of the European Parliament and of the Council of 15 September 2021 establishing the Instrument for Pre-Accession assistance (IPA III) (OJ L 330, 20.9.2021</w:t>
      </w:r>
      <w:r w:rsidR="00C43897" w:rsidRPr="00393CF8">
        <w:rPr>
          <w:rFonts w:eastAsia="Calibri"/>
          <w:sz w:val="22"/>
          <w:szCs w:val="22"/>
          <w:highlight w:val="lightGray"/>
          <w:lang w:val="en-GB" w:eastAsia="en-US"/>
        </w:rPr>
        <w:t>, p.1</w:t>
      </w:r>
      <w:r w:rsidR="007A1096" w:rsidRPr="00393CF8">
        <w:rPr>
          <w:rFonts w:eastAsia="Calibri"/>
          <w:sz w:val="22"/>
          <w:szCs w:val="22"/>
          <w:highlight w:val="lightGray"/>
          <w:lang w:val="en-GB" w:eastAsia="en-US"/>
        </w:rPr>
        <w:t>);</w:t>
      </w:r>
    </w:p>
    <w:p w14:paraId="4EF89D97" w14:textId="6FBD2541" w:rsidR="00D41A85" w:rsidRPr="00393CF8" w:rsidRDefault="00D362D4" w:rsidP="00A14593">
      <w:pPr>
        <w:rPr>
          <w:rFonts w:eastAsia="Calibri"/>
          <w:sz w:val="22"/>
          <w:szCs w:val="22"/>
          <w:highlight w:val="lightGray"/>
          <w:lang w:val="en-GB" w:eastAsia="en-US"/>
        </w:rPr>
      </w:pPr>
      <w:r w:rsidRPr="00393CF8">
        <w:rPr>
          <w:rFonts w:eastAsia="Calibri"/>
          <w:sz w:val="22"/>
          <w:szCs w:val="22"/>
          <w:highlight w:val="lightGray"/>
          <w:lang w:val="en-GB" w:eastAsia="en-US"/>
        </w:rPr>
        <w:t xml:space="preserve">- </w:t>
      </w:r>
      <w:r w:rsidR="00D41A85" w:rsidRPr="00393CF8">
        <w:rPr>
          <w:rFonts w:eastAsia="Calibri"/>
          <w:sz w:val="22"/>
          <w:szCs w:val="22"/>
          <w:highlight w:val="lightGray"/>
          <w:lang w:val="en-GB" w:eastAsia="en-US"/>
        </w:rPr>
        <w:t>Regulation (EU) No 232/2014 of the European Parliament and of the Council of 11 March 2014 establishing a European Neighbourhood Instrument (OJ L 77, 15.3.2014, p. 27);</w:t>
      </w:r>
    </w:p>
    <w:p w14:paraId="32C282B9" w14:textId="77777777" w:rsidR="004D7EFA" w:rsidRPr="00393CF8" w:rsidRDefault="00D41A85" w:rsidP="00D41A85">
      <w:pPr>
        <w:rPr>
          <w:rFonts w:eastAsia="Calibri"/>
          <w:sz w:val="22"/>
          <w:szCs w:val="22"/>
          <w:highlight w:val="lightGray"/>
          <w:lang w:val="en-GB" w:eastAsia="en-US"/>
        </w:rPr>
      </w:pPr>
      <w:r w:rsidRPr="00393CF8">
        <w:rPr>
          <w:rFonts w:eastAsia="Calibri"/>
          <w:sz w:val="22"/>
          <w:szCs w:val="22"/>
          <w:highlight w:val="lightGray"/>
          <w:lang w:val="en-GB" w:eastAsia="en-US"/>
        </w:rPr>
        <w:t>- Regulation (EU) No 231/2014 of the European Parliament and of the Council of 11 March 2014 establishing an Instrument for Pre-accession Assistance (IPA II) (OJ L 77, 15.3.2014, p. 11);</w:t>
      </w:r>
    </w:p>
    <w:p w14:paraId="6B1DB704" w14:textId="41F9A6EA" w:rsidR="00D362D4" w:rsidRPr="00393CF8" w:rsidRDefault="004D7EFA" w:rsidP="004D7EFA">
      <w:pPr>
        <w:rPr>
          <w:rFonts w:eastAsia="Calibri"/>
          <w:sz w:val="22"/>
          <w:szCs w:val="22"/>
          <w:highlight w:val="lightGray"/>
          <w:lang w:val="en-GB" w:eastAsia="en-US"/>
        </w:rPr>
      </w:pPr>
      <w:r w:rsidRPr="00393CF8">
        <w:rPr>
          <w:rFonts w:eastAsia="Calibri"/>
          <w:sz w:val="22"/>
          <w:szCs w:val="22"/>
          <w:highlight w:val="lightGray"/>
          <w:lang w:val="en-GB" w:eastAsia="en-US"/>
        </w:rPr>
        <w:t>- Commission implementing regulation (EU) No 447/2014 of 2 May 2014 on the specific rules for implementing regulation (EU) No 231/2014 of the European Parliament and of the Council of 11 March 2014 establishing an instrument for pre-accession assistance (IPA II) (OJ L 132, 3.5.2014, p. 32</w:t>
      </w:r>
      <w:r w:rsidR="00FE36E8" w:rsidRPr="00393CF8">
        <w:rPr>
          <w:rFonts w:eastAsia="Calibri"/>
          <w:sz w:val="22"/>
          <w:szCs w:val="22"/>
          <w:highlight w:val="lightGray"/>
          <w:lang w:val="en-GB" w:eastAsia="en-US"/>
        </w:rPr>
        <w:t>)</w:t>
      </w:r>
      <w:r w:rsidRPr="00393CF8">
        <w:rPr>
          <w:rFonts w:eastAsia="Calibri"/>
          <w:sz w:val="22"/>
          <w:szCs w:val="22"/>
          <w:highlight w:val="lightGray"/>
          <w:lang w:val="en-GB" w:eastAsia="en-US"/>
        </w:rPr>
        <w:t>;</w:t>
      </w:r>
    </w:p>
    <w:p w14:paraId="6E02FD0D" w14:textId="73A0AB7D" w:rsidR="004D7EFA" w:rsidRPr="00393CF8" w:rsidRDefault="004D7EFA" w:rsidP="00C43897">
      <w:pPr>
        <w:pStyle w:val="NormalWeb"/>
        <w:spacing w:before="0" w:beforeAutospacing="0" w:after="240" w:afterAutospacing="0"/>
        <w:jc w:val="both"/>
        <w:rPr>
          <w:rStyle w:val="Emphasis"/>
          <w:sz w:val="22"/>
          <w:szCs w:val="22"/>
          <w:highlight w:val="lightGray"/>
          <w:lang w:eastAsia="fr-BE"/>
        </w:rPr>
      </w:pPr>
      <w:r w:rsidRPr="00393CF8">
        <w:rPr>
          <w:sz w:val="22"/>
          <w:szCs w:val="22"/>
          <w:highlight w:val="lightGray"/>
        </w:rPr>
        <w:t>- Commission Regulation (EC) No 951/2007 of 9 August 2007 laying down implementing rules for cross-border cooperation programmes financed under Regulation (EC) No 1638/2006 of the European Parliament and of the Council laying down general provisions establishing a European Neighbourhood and Partnership Instrument</w:t>
      </w:r>
      <w:r w:rsidRPr="00B513CC">
        <w:rPr>
          <w:sz w:val="22"/>
          <w:szCs w:val="22"/>
          <w:highlight w:val="lightGray"/>
        </w:rPr>
        <w:t xml:space="preserve"> (</w:t>
      </w:r>
      <w:r w:rsidRPr="00393CF8">
        <w:rPr>
          <w:rStyle w:val="Emphasis"/>
          <w:i w:val="0"/>
          <w:sz w:val="22"/>
          <w:szCs w:val="22"/>
          <w:highlight w:val="lightGray"/>
        </w:rPr>
        <w:t>OJ L 210, 10.8.2007, p. 10)</w:t>
      </w:r>
      <w:r w:rsidR="00FE36E8" w:rsidRPr="00393CF8">
        <w:rPr>
          <w:rStyle w:val="Emphasis"/>
          <w:i w:val="0"/>
          <w:sz w:val="22"/>
          <w:szCs w:val="22"/>
          <w:highlight w:val="lightGray"/>
        </w:rPr>
        <w:t>;</w:t>
      </w:r>
    </w:p>
    <w:p w14:paraId="7D33814B" w14:textId="2C17C2C4" w:rsidR="000F20C4" w:rsidRPr="00637256" w:rsidRDefault="00CC0F1C" w:rsidP="00CC0F1C">
      <w:pPr>
        <w:pStyle w:val="ListParagraph"/>
        <w:ind w:left="0"/>
        <w:rPr>
          <w:rFonts w:eastAsia="Calibri"/>
          <w:sz w:val="22"/>
          <w:szCs w:val="22"/>
          <w:lang w:val="en-GB" w:eastAsia="en-US"/>
        </w:rPr>
      </w:pPr>
      <w:r w:rsidRPr="00393CF8">
        <w:rPr>
          <w:rFonts w:eastAsia="Calibri"/>
          <w:sz w:val="22"/>
          <w:szCs w:val="22"/>
          <w:highlight w:val="lightGray"/>
          <w:lang w:val="en-GB" w:eastAsia="en-US"/>
        </w:rPr>
        <w:t xml:space="preserve">- </w:t>
      </w:r>
      <w:r w:rsidR="004D7EFA" w:rsidRPr="00393CF8">
        <w:rPr>
          <w:rFonts w:eastAsia="Calibri"/>
          <w:sz w:val="22"/>
          <w:szCs w:val="22"/>
          <w:highlight w:val="lightGray"/>
          <w:lang w:val="en-GB" w:eastAsia="en-US"/>
        </w:rPr>
        <w:t>Commission Implementing Regulation (EU) No 897/2014 of 18 August 2014 laying down specific provisions for the implementation of cross-border cooperation programmes financed under Regulation (EU) No 232/2014 of the European Parliament and the Council establishing a European Neighbourhood Instrument (OJ L 244, 19.8.2014, p. 12)</w:t>
      </w:r>
      <w:r w:rsidR="006F2151" w:rsidRPr="00637256">
        <w:rPr>
          <w:rFonts w:eastAsia="Calibri"/>
          <w:sz w:val="22"/>
          <w:szCs w:val="22"/>
          <w:lang w:val="en-GB" w:eastAsia="en-US"/>
        </w:rPr>
        <w:t>.</w:t>
      </w:r>
      <w:r w:rsidR="00901810">
        <w:rPr>
          <w:rFonts w:eastAsia="Calibri"/>
          <w:sz w:val="22"/>
          <w:szCs w:val="22"/>
          <w:lang w:val="en-GB" w:eastAsia="en-US"/>
        </w:rPr>
        <w:t>]</w:t>
      </w:r>
    </w:p>
    <w:p w14:paraId="3BF412E2" w14:textId="77777777" w:rsidR="0003020D" w:rsidRPr="00637256" w:rsidRDefault="0003020D" w:rsidP="00CC0F1C">
      <w:pPr>
        <w:pStyle w:val="ListParagraph"/>
        <w:ind w:left="0"/>
        <w:rPr>
          <w:rFonts w:eastAsia="Calibri"/>
          <w:sz w:val="22"/>
          <w:szCs w:val="22"/>
          <w:lang w:val="en-GB" w:eastAsia="en-US"/>
        </w:rPr>
      </w:pPr>
    </w:p>
    <w:p w14:paraId="1D852CAA" w14:textId="77777777" w:rsidR="0003020D" w:rsidRPr="00637256" w:rsidRDefault="0003020D" w:rsidP="00CC0F1C">
      <w:pPr>
        <w:pStyle w:val="ListParagraph"/>
        <w:ind w:left="0"/>
        <w:rPr>
          <w:rFonts w:eastAsia="Calibri"/>
          <w:b/>
          <w:sz w:val="22"/>
          <w:szCs w:val="22"/>
          <w:lang w:val="en-GB" w:eastAsia="en-US"/>
        </w:rPr>
      </w:pPr>
      <w:r w:rsidRPr="00393CF8">
        <w:rPr>
          <w:rFonts w:eastAsia="Calibri"/>
          <w:b/>
          <w:sz w:val="22"/>
          <w:szCs w:val="22"/>
          <w:highlight w:val="yellow"/>
          <w:lang w:val="en-GB" w:eastAsia="en-US"/>
        </w:rPr>
        <w:t>FPI</w:t>
      </w:r>
    </w:p>
    <w:p w14:paraId="190F30F4" w14:textId="16CDF255" w:rsidR="0003020D" w:rsidRPr="00AE09CA" w:rsidRDefault="00393CF8" w:rsidP="00805F43">
      <w:pPr>
        <w:rPr>
          <w:rFonts w:eastAsia="Calibri"/>
          <w:sz w:val="22"/>
          <w:szCs w:val="22"/>
          <w:highlight w:val="lightGray"/>
          <w:lang w:val="en-IE" w:eastAsia="en-US"/>
        </w:rPr>
      </w:pPr>
      <w:r w:rsidRPr="0008433E">
        <w:rPr>
          <w:rFonts w:eastAsia="Calibri"/>
          <w:sz w:val="22"/>
          <w:szCs w:val="22"/>
          <w:lang w:val="en-IE" w:eastAsia="en-US"/>
        </w:rPr>
        <w:t>[</w:t>
      </w:r>
      <w:r w:rsidR="0003020D" w:rsidRPr="0008433E">
        <w:rPr>
          <w:rFonts w:eastAsia="Calibri"/>
          <w:sz w:val="22"/>
          <w:szCs w:val="22"/>
          <w:highlight w:val="lightGray"/>
          <w:lang w:val="en-IE" w:eastAsia="en-US"/>
        </w:rPr>
        <w:t>-</w:t>
      </w:r>
      <w:r w:rsidR="0003020D" w:rsidRPr="00F8704C">
        <w:rPr>
          <w:rFonts w:eastAsia="Calibri"/>
          <w:sz w:val="22"/>
          <w:szCs w:val="22"/>
          <w:highlight w:val="lightGray"/>
          <w:lang w:val="en-IE" w:eastAsia="en-US"/>
        </w:rPr>
        <w:t xml:space="preserve"> </w:t>
      </w:r>
      <w:r w:rsidR="0003020D" w:rsidRPr="0008433E">
        <w:rPr>
          <w:rFonts w:eastAsia="Calibri"/>
          <w:sz w:val="22"/>
          <w:szCs w:val="22"/>
          <w:highlight w:val="lightGray"/>
          <w:lang w:val="en-IE" w:eastAsia="en-US"/>
        </w:rPr>
        <w:t>Regulation (</w:t>
      </w:r>
      <w:r w:rsidR="0003020D" w:rsidRPr="00AE09CA">
        <w:rPr>
          <w:rFonts w:eastAsia="Calibri"/>
          <w:sz w:val="22"/>
          <w:szCs w:val="22"/>
          <w:highlight w:val="lightGray"/>
          <w:lang w:val="en-IE" w:eastAsia="en-US"/>
        </w:rPr>
        <w:t>EU) No 230/2014 of the European Parliament and of the Council of 11 March 2014 establishing an instrument contributing to st</w:t>
      </w:r>
      <w:r w:rsidR="00687E93" w:rsidRPr="00AE09CA">
        <w:rPr>
          <w:rFonts w:eastAsia="Calibri"/>
          <w:sz w:val="22"/>
          <w:szCs w:val="22"/>
          <w:highlight w:val="lightGray"/>
          <w:lang w:val="en-IE" w:eastAsia="en-US"/>
        </w:rPr>
        <w:t>ability and peace (OJ L 77, 15.</w:t>
      </w:r>
      <w:r w:rsidR="0003020D" w:rsidRPr="00AE09CA">
        <w:rPr>
          <w:rFonts w:eastAsia="Calibri"/>
          <w:sz w:val="22"/>
          <w:szCs w:val="22"/>
          <w:highlight w:val="lightGray"/>
          <w:lang w:val="en-IE" w:eastAsia="en-US"/>
        </w:rPr>
        <w:t>3.2014, p. 1);</w:t>
      </w:r>
    </w:p>
    <w:p w14:paraId="76D5C725" w14:textId="49446A12" w:rsidR="0003020D" w:rsidRPr="00AE09CA" w:rsidRDefault="0003020D" w:rsidP="00805F43">
      <w:pPr>
        <w:rPr>
          <w:rFonts w:eastAsia="Calibri"/>
          <w:sz w:val="22"/>
          <w:szCs w:val="22"/>
          <w:highlight w:val="lightGray"/>
          <w:lang w:val="en-IE" w:eastAsia="en-US"/>
        </w:rPr>
      </w:pPr>
      <w:r w:rsidRPr="00AE09CA">
        <w:rPr>
          <w:rFonts w:eastAsia="Calibri"/>
          <w:sz w:val="22"/>
          <w:szCs w:val="22"/>
          <w:highlight w:val="lightGray"/>
          <w:lang w:val="en-IE" w:eastAsia="en-US"/>
        </w:rPr>
        <w:t xml:space="preserve">- Regulation (EU) No 234/2014 of the European Parliament and of the Council of 11 March 2014 establishing a Partnership Instrument for cooperation with third countries </w:t>
      </w:r>
      <w:r w:rsidR="00FE36E8" w:rsidRPr="00AE09CA">
        <w:rPr>
          <w:rFonts w:eastAsia="Calibri"/>
          <w:sz w:val="22"/>
          <w:szCs w:val="22"/>
          <w:highlight w:val="lightGray"/>
          <w:lang w:val="en-IE" w:eastAsia="en-US"/>
        </w:rPr>
        <w:t>(</w:t>
      </w:r>
      <w:r w:rsidRPr="00AE09CA">
        <w:rPr>
          <w:rFonts w:eastAsia="Calibri"/>
          <w:sz w:val="22"/>
          <w:szCs w:val="22"/>
          <w:highlight w:val="lightGray"/>
          <w:lang w:val="en-IE" w:eastAsia="en-US"/>
        </w:rPr>
        <w:t>OJ L 77, 15.3.2014, p. 77</w:t>
      </w:r>
      <w:r w:rsidR="00FE36E8" w:rsidRPr="00AE09CA">
        <w:rPr>
          <w:rFonts w:eastAsia="Calibri"/>
          <w:sz w:val="22"/>
          <w:szCs w:val="22"/>
          <w:highlight w:val="lightGray"/>
          <w:lang w:val="en-IE" w:eastAsia="en-US"/>
        </w:rPr>
        <w:t>);</w:t>
      </w:r>
    </w:p>
    <w:p w14:paraId="6A6D57DD" w14:textId="435B2AE4" w:rsidR="007B7F6B" w:rsidRPr="00AE09CA" w:rsidRDefault="007B7F6B" w:rsidP="00805F43">
      <w:pPr>
        <w:rPr>
          <w:rFonts w:eastAsia="Calibri"/>
          <w:sz w:val="22"/>
          <w:szCs w:val="22"/>
          <w:highlight w:val="lightGray"/>
          <w:lang w:val="en-IE" w:eastAsia="en-US"/>
        </w:rPr>
      </w:pPr>
      <w:r w:rsidRPr="00AE09CA">
        <w:rPr>
          <w:rFonts w:eastAsia="Calibri"/>
          <w:sz w:val="22"/>
          <w:szCs w:val="22"/>
          <w:highlight w:val="lightGray"/>
          <w:lang w:val="en-IE" w:eastAsia="en-US"/>
        </w:rPr>
        <w:t>- Council Decision (CFSP) 2021/509 of 22 March 2021 establishing a European Peace Facility, and repealing Decision (CFSP) 2015/528 (OJ L 102, 14.3.2021, p.14)</w:t>
      </w:r>
      <w:r w:rsidR="00687E93" w:rsidRPr="00AE09CA">
        <w:rPr>
          <w:rStyle w:val="FootnoteReference"/>
          <w:rFonts w:eastAsia="Calibri"/>
          <w:sz w:val="22"/>
          <w:szCs w:val="22"/>
          <w:highlight w:val="lightGray"/>
          <w:lang w:val="en-IE" w:eastAsia="en-US"/>
        </w:rPr>
        <w:footnoteReference w:id="4"/>
      </w:r>
      <w:r w:rsidRPr="00AE09CA">
        <w:rPr>
          <w:rFonts w:eastAsia="Calibri"/>
          <w:sz w:val="22"/>
          <w:szCs w:val="22"/>
          <w:highlight w:val="lightGray"/>
          <w:lang w:val="en-IE" w:eastAsia="en-US"/>
        </w:rPr>
        <w:t>;</w:t>
      </w:r>
    </w:p>
    <w:p w14:paraId="0245D3BA" w14:textId="60659451" w:rsidR="0003020D" w:rsidRPr="00AE09CA" w:rsidRDefault="0003020D" w:rsidP="00805F43">
      <w:pPr>
        <w:rPr>
          <w:rFonts w:eastAsia="Calibri"/>
          <w:sz w:val="22"/>
          <w:szCs w:val="22"/>
          <w:highlight w:val="lightGray"/>
          <w:lang w:val="en-IE" w:eastAsia="en-US"/>
        </w:rPr>
      </w:pPr>
      <w:r w:rsidRPr="00AE09CA">
        <w:rPr>
          <w:rFonts w:eastAsia="Calibri"/>
          <w:sz w:val="22"/>
          <w:szCs w:val="22"/>
          <w:highlight w:val="lightGray"/>
          <w:lang w:val="en-IE" w:eastAsia="en-US"/>
        </w:rPr>
        <w:t>- Regulation (EU) No 235/2014 of the European Parliament and of the Council of 11 March 2014 establishing a financing instrument for democracy and human rights worldwide (OJ L 77, 15.3.2014, p. 85);</w:t>
      </w:r>
    </w:p>
    <w:p w14:paraId="4BD82EA8" w14:textId="2F6F2A8C" w:rsidR="0003020D" w:rsidRPr="00637256" w:rsidRDefault="0003020D" w:rsidP="00805F43">
      <w:pPr>
        <w:rPr>
          <w:rFonts w:eastAsia="Calibri"/>
          <w:sz w:val="22"/>
          <w:szCs w:val="22"/>
          <w:lang w:val="en-IE" w:eastAsia="en-US"/>
        </w:rPr>
      </w:pPr>
      <w:r w:rsidRPr="00AE09CA">
        <w:rPr>
          <w:rFonts w:eastAsia="Calibri"/>
          <w:sz w:val="22"/>
          <w:szCs w:val="22"/>
          <w:highlight w:val="lightGray"/>
          <w:lang w:val="en-IE" w:eastAsia="en-US"/>
        </w:rPr>
        <w:t>- All the Council Decisions authorising the implementation of Non-Proliferation and Disarmament Projects and designating the direct beneficiaries of the grants awarded to those projects;</w:t>
      </w:r>
      <w:r w:rsidR="00AE09CA">
        <w:rPr>
          <w:rFonts w:eastAsia="Calibri"/>
          <w:sz w:val="22"/>
          <w:szCs w:val="22"/>
          <w:lang w:val="en-IE" w:eastAsia="en-US"/>
        </w:rPr>
        <w:t>]</w:t>
      </w:r>
    </w:p>
    <w:p w14:paraId="3F82C3B1" w14:textId="77777777" w:rsidR="00A11E59" w:rsidRPr="00637256" w:rsidRDefault="00A11E59" w:rsidP="00A11E59">
      <w:pPr>
        <w:rPr>
          <w:rFonts w:eastAsia="Calibri"/>
          <w:sz w:val="22"/>
          <w:szCs w:val="22"/>
          <w:lang w:val="en-GB" w:eastAsia="en-US"/>
        </w:rPr>
      </w:pPr>
      <w:r w:rsidRPr="00637256">
        <w:rPr>
          <w:rFonts w:eastAsia="Calibri"/>
          <w:sz w:val="22"/>
          <w:szCs w:val="22"/>
          <w:lang w:val="en-GB" w:eastAsia="en-US"/>
        </w:rPr>
        <w:t>- Regulation (EU, EURATOM) No 883/2013 of the European Parliament and of the Council of 11 September 2013 concerning investigations conducted by the European Anti-Fraud Office (OLAF) and repealing Regulation(EC) No 1073/1999 of the European Parliament and of the Council and Council Regulation (</w:t>
      </w:r>
      <w:proofErr w:type="spellStart"/>
      <w:r w:rsidRPr="00637256">
        <w:rPr>
          <w:rFonts w:eastAsia="Calibri"/>
          <w:sz w:val="22"/>
          <w:szCs w:val="22"/>
          <w:lang w:val="en-GB" w:eastAsia="en-US"/>
        </w:rPr>
        <w:t>Euratom</w:t>
      </w:r>
      <w:proofErr w:type="spellEnd"/>
      <w:r w:rsidRPr="00637256">
        <w:rPr>
          <w:rFonts w:eastAsia="Calibri"/>
          <w:sz w:val="22"/>
          <w:szCs w:val="22"/>
          <w:lang w:val="en-GB" w:eastAsia="en-US"/>
        </w:rPr>
        <w:t>) No 1074/1999 (OJ L 248, 18.9.2013, p. 1).</w:t>
      </w:r>
    </w:p>
    <w:p w14:paraId="5F8A002D" w14:textId="6E6AAD13" w:rsidR="00F25D16" w:rsidRPr="00637256" w:rsidRDefault="00A11E59" w:rsidP="00687E93">
      <w:pPr>
        <w:spacing w:after="360"/>
        <w:rPr>
          <w:rFonts w:eastAsia="Calibri"/>
          <w:sz w:val="22"/>
          <w:szCs w:val="22"/>
          <w:lang w:val="en-GB" w:eastAsia="en-US"/>
        </w:rPr>
      </w:pPr>
      <w:r w:rsidRPr="00637256">
        <w:rPr>
          <w:rFonts w:eastAsia="Calibri"/>
          <w:sz w:val="22"/>
          <w:szCs w:val="22"/>
          <w:lang w:val="en-GB" w:eastAsia="en-US"/>
        </w:rPr>
        <w:lastRenderedPageBreak/>
        <w:t>- The</w:t>
      </w:r>
      <w:r w:rsidR="00E53966" w:rsidRPr="00637256">
        <w:rPr>
          <w:rFonts w:eastAsia="Calibri"/>
          <w:sz w:val="22"/>
          <w:szCs w:val="22"/>
          <w:lang w:val="en-GB" w:eastAsia="en-US"/>
        </w:rPr>
        <w:t xml:space="preserve"> relevant</w:t>
      </w:r>
      <w:r w:rsidRPr="00637256">
        <w:rPr>
          <w:rFonts w:eastAsia="Calibri"/>
          <w:sz w:val="22"/>
          <w:szCs w:val="22"/>
          <w:lang w:val="en-GB" w:eastAsia="en-US"/>
        </w:rPr>
        <w:t xml:space="preserve"> Commission financing decision</w:t>
      </w:r>
      <w:r w:rsidR="00833423" w:rsidRPr="00637256">
        <w:rPr>
          <w:rFonts w:eastAsia="Calibri"/>
          <w:sz w:val="22"/>
          <w:szCs w:val="22"/>
          <w:lang w:val="en-GB" w:eastAsia="en-US"/>
        </w:rPr>
        <w:t xml:space="preserve"> and work programme</w:t>
      </w:r>
      <w:r w:rsidRPr="00637256">
        <w:rPr>
          <w:rFonts w:eastAsia="Calibri"/>
          <w:sz w:val="22"/>
          <w:szCs w:val="22"/>
          <w:lang w:val="en-GB" w:eastAsia="en-US"/>
        </w:rPr>
        <w:t>, which identifies the implementation modality and contains the concrete budgetary commitment</w:t>
      </w:r>
      <w:r w:rsidR="00E53966" w:rsidRPr="00637256">
        <w:rPr>
          <w:rFonts w:eastAsia="Calibri"/>
          <w:sz w:val="22"/>
          <w:szCs w:val="22"/>
          <w:lang w:val="en-GB" w:eastAsia="en-US"/>
        </w:rPr>
        <w:t>, and form part of the legal basis for a processing operation, where applicable, in line with the EU Financial Regulation</w:t>
      </w:r>
      <w:r w:rsidR="00833423" w:rsidRPr="00637256">
        <w:rPr>
          <w:rFonts w:eastAsia="Calibri"/>
          <w:sz w:val="22"/>
          <w:szCs w:val="22"/>
          <w:lang w:val="en-GB" w:eastAsia="en-US"/>
        </w:rPr>
        <w:t xml:space="preserve"> and the</w:t>
      </w:r>
      <w:r w:rsidR="00487FB0" w:rsidRPr="00637256">
        <w:rPr>
          <w:rFonts w:eastAsia="Calibri"/>
          <w:sz w:val="22"/>
          <w:szCs w:val="22"/>
          <w:lang w:val="en-GB" w:eastAsia="en-US"/>
        </w:rPr>
        <w:t xml:space="preserve"> corresponding</w:t>
      </w:r>
      <w:r w:rsidR="00833423" w:rsidRPr="00637256">
        <w:rPr>
          <w:rFonts w:eastAsia="Calibri"/>
          <w:sz w:val="22"/>
          <w:szCs w:val="22"/>
          <w:lang w:val="en-GB" w:eastAsia="en-US"/>
        </w:rPr>
        <w:t xml:space="preserve"> funding instrument</w:t>
      </w:r>
      <w:r w:rsidR="00D362D4" w:rsidRPr="00637256">
        <w:rPr>
          <w:rFonts w:eastAsia="Calibri"/>
          <w:sz w:val="22"/>
          <w:szCs w:val="22"/>
          <w:lang w:val="en-GB" w:eastAsia="en-US"/>
        </w:rPr>
        <w:t>.</w:t>
      </w:r>
      <w:r w:rsidR="00CC0F1C" w:rsidRPr="00637256">
        <w:rPr>
          <w:rFonts w:eastAsia="Calibri"/>
          <w:sz w:val="22"/>
          <w:szCs w:val="22"/>
          <w:lang w:val="en-GB" w:eastAsia="en-US"/>
        </w:rPr>
        <w:t xml:space="preserve"> </w:t>
      </w:r>
    </w:p>
    <w:p w14:paraId="169A33EC" w14:textId="0101B084" w:rsidR="00D362D4" w:rsidRPr="00637256" w:rsidRDefault="00D362D4" w:rsidP="007A7C48">
      <w:pPr>
        <w:spacing w:after="120"/>
        <w:rPr>
          <w:rFonts w:eastAsia="Calibri"/>
          <w:sz w:val="22"/>
          <w:szCs w:val="22"/>
          <w:lang w:val="en-GB" w:eastAsia="en-US"/>
        </w:rPr>
      </w:pPr>
      <w:r w:rsidRPr="00637256">
        <w:rPr>
          <w:rFonts w:eastAsia="Calibri"/>
          <w:sz w:val="22"/>
          <w:szCs w:val="22"/>
          <w:lang w:val="en-GB" w:eastAsia="en-US"/>
        </w:rPr>
        <w:t>The data processing is also necessary:</w:t>
      </w:r>
    </w:p>
    <w:p w14:paraId="34C69750" w14:textId="0534005C" w:rsidR="00A11E59" w:rsidRPr="00637256" w:rsidRDefault="00D362D4" w:rsidP="007A7C48">
      <w:pPr>
        <w:spacing w:after="120"/>
        <w:rPr>
          <w:rFonts w:eastAsia="Calibri"/>
          <w:sz w:val="22"/>
          <w:szCs w:val="22"/>
          <w:lang w:val="en-GB" w:eastAsia="en-US"/>
        </w:rPr>
      </w:pPr>
      <w:r w:rsidRPr="00637256">
        <w:rPr>
          <w:rFonts w:eastAsia="Calibri"/>
          <w:sz w:val="22"/>
          <w:szCs w:val="22"/>
          <w:lang w:val="en-GB" w:eastAsia="en-US"/>
        </w:rPr>
        <w:t>- To</w:t>
      </w:r>
      <w:r w:rsidR="00A11E59" w:rsidRPr="00637256">
        <w:rPr>
          <w:rFonts w:eastAsia="Calibri"/>
          <w:sz w:val="22"/>
          <w:szCs w:val="22"/>
          <w:lang w:val="en-GB" w:eastAsia="en-US"/>
        </w:rPr>
        <w:t xml:space="preserve"> ensure </w:t>
      </w:r>
      <w:r w:rsidR="00A11E59" w:rsidRPr="00637256">
        <w:rPr>
          <w:rFonts w:eastAsia="Calibri"/>
          <w:b/>
          <w:sz w:val="22"/>
          <w:szCs w:val="22"/>
          <w:lang w:val="en-GB" w:eastAsia="en-US"/>
        </w:rPr>
        <w:t>compliance</w:t>
      </w:r>
      <w:r w:rsidR="00A11E59" w:rsidRPr="00637256">
        <w:rPr>
          <w:rFonts w:eastAsia="Calibri"/>
          <w:sz w:val="22"/>
          <w:szCs w:val="22"/>
          <w:lang w:val="en-GB" w:eastAsia="en-US"/>
        </w:rPr>
        <w:t xml:space="preserve"> of the Data Controller </w:t>
      </w:r>
      <w:r w:rsidR="00A11E59" w:rsidRPr="00637256">
        <w:rPr>
          <w:rFonts w:eastAsia="Calibri"/>
          <w:b/>
          <w:sz w:val="22"/>
          <w:szCs w:val="22"/>
          <w:lang w:val="en-GB" w:eastAsia="en-US"/>
        </w:rPr>
        <w:t>with the legal obligations</w:t>
      </w:r>
      <w:r w:rsidR="00A11E59" w:rsidRPr="00637256">
        <w:rPr>
          <w:rFonts w:eastAsia="Calibri"/>
          <w:sz w:val="22"/>
          <w:szCs w:val="22"/>
          <w:lang w:val="en-GB" w:eastAsia="en-US"/>
        </w:rPr>
        <w:t xml:space="preserve"> stated in the abovementioned legal acts, and</w:t>
      </w:r>
      <w:r w:rsidRPr="00637256">
        <w:rPr>
          <w:rFonts w:eastAsia="Calibri"/>
          <w:sz w:val="22"/>
          <w:szCs w:val="22"/>
          <w:lang w:val="en-GB" w:eastAsia="en-US"/>
        </w:rPr>
        <w:t xml:space="preserve"> with the financing agreements concluded between the EU, on the one hand, and the partner country, on the other hand, on the implementation of the EU’s external </w:t>
      </w:r>
      <w:r w:rsidR="00AA2A1F" w:rsidRPr="00637256">
        <w:rPr>
          <w:rFonts w:eastAsia="Calibri"/>
          <w:sz w:val="22"/>
          <w:szCs w:val="22"/>
          <w:lang w:val="en-GB" w:eastAsia="en-US"/>
        </w:rPr>
        <w:t>action for the benefit of the partner c</w:t>
      </w:r>
      <w:r w:rsidRPr="00637256">
        <w:rPr>
          <w:rFonts w:eastAsia="Calibri"/>
          <w:sz w:val="22"/>
          <w:szCs w:val="22"/>
          <w:lang w:val="en-GB" w:eastAsia="en-US"/>
        </w:rPr>
        <w:t>ountry and within its sovereign territory.</w:t>
      </w:r>
    </w:p>
    <w:p w14:paraId="41A7A2D7" w14:textId="77777777" w:rsidR="00D362D4" w:rsidRPr="00637256" w:rsidRDefault="00A11E59" w:rsidP="007A7C48">
      <w:pPr>
        <w:spacing w:after="120"/>
        <w:rPr>
          <w:rFonts w:eastAsia="Calibri"/>
          <w:sz w:val="22"/>
          <w:szCs w:val="22"/>
          <w:lang w:val="en-GB" w:eastAsia="en-US"/>
        </w:rPr>
      </w:pPr>
      <w:r w:rsidRPr="00637256">
        <w:rPr>
          <w:rFonts w:eastAsia="Calibri"/>
          <w:sz w:val="22"/>
          <w:szCs w:val="22"/>
          <w:lang w:val="en-GB" w:eastAsia="en-US"/>
        </w:rPr>
        <w:t xml:space="preserve">- For the </w:t>
      </w:r>
      <w:r w:rsidRPr="00637256">
        <w:rPr>
          <w:rFonts w:eastAsia="Calibri"/>
          <w:b/>
          <w:sz w:val="22"/>
          <w:szCs w:val="22"/>
          <w:lang w:val="en-GB" w:eastAsia="en-US"/>
        </w:rPr>
        <w:t>performance of a contract</w:t>
      </w:r>
      <w:r w:rsidRPr="00637256">
        <w:rPr>
          <w:rFonts w:eastAsia="Calibri"/>
          <w:sz w:val="22"/>
          <w:szCs w:val="22"/>
          <w:lang w:val="en-GB" w:eastAsia="en-US"/>
        </w:rPr>
        <w:t xml:space="preserve"> to which the data subject is party or in order to take steps at the request of the data subject pr</w:t>
      </w:r>
      <w:r w:rsidR="00D362D4" w:rsidRPr="00637256">
        <w:rPr>
          <w:rFonts w:eastAsia="Calibri"/>
          <w:sz w:val="22"/>
          <w:szCs w:val="22"/>
          <w:lang w:val="en-GB" w:eastAsia="en-US"/>
        </w:rPr>
        <w:t>ior to entering into a contract.</w:t>
      </w:r>
    </w:p>
    <w:p w14:paraId="571EF695" w14:textId="77777777" w:rsidR="00A11E59" w:rsidRPr="00637256" w:rsidRDefault="00D362D4" w:rsidP="007A7C48">
      <w:pPr>
        <w:rPr>
          <w:rFonts w:eastAsia="Calibri"/>
          <w:sz w:val="22"/>
          <w:szCs w:val="22"/>
          <w:lang w:val="en-GB" w:eastAsia="en-US"/>
        </w:rPr>
      </w:pPr>
      <w:r w:rsidRPr="00637256">
        <w:rPr>
          <w:rFonts w:eastAsia="Calibri"/>
          <w:sz w:val="22"/>
          <w:szCs w:val="22"/>
          <w:lang w:val="en-GB" w:eastAsia="en-US"/>
        </w:rPr>
        <w:t xml:space="preserve">The grounds for processing described above correspond to </w:t>
      </w:r>
      <w:r w:rsidR="00A11E59" w:rsidRPr="00637256">
        <w:rPr>
          <w:rFonts w:eastAsia="Calibri"/>
          <w:sz w:val="22"/>
          <w:szCs w:val="22"/>
          <w:lang w:val="en-GB" w:eastAsia="en-US"/>
        </w:rPr>
        <w:t>points (a), (b) and (c) of Article 5</w:t>
      </w:r>
      <w:r w:rsidRPr="00637256">
        <w:rPr>
          <w:rFonts w:eastAsia="Calibri"/>
          <w:sz w:val="22"/>
          <w:szCs w:val="22"/>
          <w:lang w:val="en-GB" w:eastAsia="en-US"/>
        </w:rPr>
        <w:t xml:space="preserve"> of Regulation (EU) 2018/1725.</w:t>
      </w:r>
    </w:p>
    <w:p w14:paraId="59E6A238" w14:textId="6742D2AF" w:rsidR="006B6CEE" w:rsidRPr="00637256" w:rsidRDefault="00A11E59" w:rsidP="006B6CEE">
      <w:pPr>
        <w:rPr>
          <w:rFonts w:eastAsia="Calibri"/>
          <w:sz w:val="22"/>
          <w:szCs w:val="22"/>
          <w:lang w:val="en-GB" w:eastAsia="en-US"/>
        </w:rPr>
      </w:pPr>
      <w:r w:rsidRPr="00637256">
        <w:rPr>
          <w:rFonts w:eastAsia="Calibri"/>
          <w:sz w:val="22"/>
          <w:szCs w:val="22"/>
          <w:lang w:val="en-GB" w:eastAsia="en-US"/>
        </w:rPr>
        <w:t>In very limited and specific cases, w</w:t>
      </w:r>
      <w:r w:rsidR="006B6CEE" w:rsidRPr="00637256">
        <w:rPr>
          <w:rFonts w:eastAsia="Calibri"/>
          <w:sz w:val="22"/>
          <w:szCs w:val="22"/>
          <w:lang w:val="en-GB" w:eastAsia="en-US"/>
        </w:rPr>
        <w:t xml:space="preserve">e </w:t>
      </w:r>
      <w:r w:rsidRPr="00637256">
        <w:rPr>
          <w:rFonts w:eastAsia="Calibri"/>
          <w:sz w:val="22"/>
          <w:szCs w:val="22"/>
          <w:lang w:val="en-GB" w:eastAsia="en-US"/>
        </w:rPr>
        <w:t xml:space="preserve">might </w:t>
      </w:r>
      <w:r w:rsidR="006B6CEE" w:rsidRPr="00637256">
        <w:rPr>
          <w:rFonts w:eastAsia="Calibri"/>
          <w:sz w:val="22"/>
          <w:szCs w:val="22"/>
          <w:lang w:val="en-GB" w:eastAsia="en-US"/>
        </w:rPr>
        <w:t xml:space="preserve">process special categories of personal data indicated in </w:t>
      </w:r>
      <w:r w:rsidR="00FD71AB" w:rsidRPr="00637256">
        <w:rPr>
          <w:rFonts w:eastAsia="Calibri"/>
          <w:sz w:val="22"/>
          <w:szCs w:val="22"/>
          <w:lang w:val="en-GB" w:eastAsia="en-US"/>
        </w:rPr>
        <w:t xml:space="preserve">Heading </w:t>
      </w:r>
      <w:r w:rsidR="006B6CEE" w:rsidRPr="00637256">
        <w:rPr>
          <w:rFonts w:eastAsia="Calibri"/>
          <w:sz w:val="22"/>
          <w:szCs w:val="22"/>
          <w:lang w:val="en-GB" w:eastAsia="en-US"/>
        </w:rPr>
        <w:t xml:space="preserve">4, </w:t>
      </w:r>
      <w:r w:rsidRPr="00637256">
        <w:rPr>
          <w:rFonts w:eastAsia="Calibri"/>
          <w:sz w:val="22"/>
          <w:szCs w:val="22"/>
          <w:lang w:val="en-GB" w:eastAsia="en-US"/>
        </w:rPr>
        <w:t>namely data related to the health of the data subjects. T</w:t>
      </w:r>
      <w:r w:rsidR="006B6CEE" w:rsidRPr="00637256">
        <w:rPr>
          <w:rFonts w:eastAsia="Calibri"/>
          <w:sz w:val="22"/>
          <w:szCs w:val="22"/>
          <w:lang w:val="en-GB" w:eastAsia="en-US"/>
        </w:rPr>
        <w:t>he processing is necessary for the purposes of carrying out the obligations and exercising specific rights of the controller or of the data subject in the field of employment and social security and social protection law insofar as it is authorised by Union law providing for appropriate safeguards for the fundamental rights and th</w:t>
      </w:r>
      <w:r w:rsidRPr="00637256">
        <w:rPr>
          <w:rFonts w:eastAsia="Calibri"/>
          <w:sz w:val="22"/>
          <w:szCs w:val="22"/>
          <w:lang w:val="en-GB" w:eastAsia="en-US"/>
        </w:rPr>
        <w:t>e interests of the data subject, in accordance with Article 10(2</w:t>
      </w:r>
      <w:proofErr w:type="gramStart"/>
      <w:r w:rsidRPr="00637256">
        <w:rPr>
          <w:rFonts w:eastAsia="Calibri"/>
          <w:sz w:val="22"/>
          <w:szCs w:val="22"/>
          <w:lang w:val="en-GB" w:eastAsia="en-US"/>
        </w:rPr>
        <w:t>)(</w:t>
      </w:r>
      <w:proofErr w:type="gramEnd"/>
      <w:r w:rsidRPr="00637256">
        <w:rPr>
          <w:rFonts w:eastAsia="Calibri"/>
          <w:sz w:val="22"/>
          <w:szCs w:val="22"/>
          <w:lang w:val="en-GB" w:eastAsia="en-US"/>
        </w:rPr>
        <w:t>b) of Regulation (EU) 2018/1725.</w:t>
      </w:r>
      <w:r w:rsidRPr="00637256">
        <w:rPr>
          <w:sz w:val="22"/>
          <w:szCs w:val="22"/>
          <w:lang w:val="en-GB"/>
        </w:rPr>
        <w:t xml:space="preserve"> </w:t>
      </w:r>
      <w:r w:rsidR="00E06004" w:rsidRPr="00637256">
        <w:rPr>
          <w:sz w:val="22"/>
          <w:szCs w:val="22"/>
          <w:lang w:val="en-GB"/>
        </w:rPr>
        <w:t>If so, t</w:t>
      </w:r>
      <w:r w:rsidRPr="00637256">
        <w:rPr>
          <w:rFonts w:eastAsia="Calibri"/>
          <w:sz w:val="22"/>
          <w:szCs w:val="22"/>
          <w:lang w:val="en-GB" w:eastAsia="en-US"/>
        </w:rPr>
        <w:t xml:space="preserve">he processing </w:t>
      </w:r>
      <w:r w:rsidR="00E06004" w:rsidRPr="00637256">
        <w:rPr>
          <w:rFonts w:eastAsia="Calibri"/>
          <w:sz w:val="22"/>
          <w:szCs w:val="22"/>
          <w:lang w:val="en-GB" w:eastAsia="en-US"/>
        </w:rPr>
        <w:t xml:space="preserve">will be limited to the </w:t>
      </w:r>
      <w:r w:rsidRPr="00637256">
        <w:rPr>
          <w:rFonts w:eastAsia="Calibri"/>
          <w:sz w:val="22"/>
          <w:szCs w:val="22"/>
          <w:lang w:val="en-GB" w:eastAsia="en-US"/>
        </w:rPr>
        <w:t>submission by the contractor of a certificate that the contractor itself, its staff, its subcontractors and/or any person for which the contractor is answerable, are fit to implement their obligations under the contract</w:t>
      </w:r>
      <w:r w:rsidR="00E06004" w:rsidRPr="00637256">
        <w:rPr>
          <w:rFonts w:eastAsia="Calibri"/>
          <w:sz w:val="22"/>
          <w:szCs w:val="22"/>
          <w:lang w:val="en-GB" w:eastAsia="en-US"/>
        </w:rPr>
        <w:t>, with no further details on the health of the data subject</w:t>
      </w:r>
      <w:r w:rsidRPr="00637256">
        <w:rPr>
          <w:rFonts w:eastAsia="Calibri"/>
          <w:sz w:val="22"/>
          <w:szCs w:val="22"/>
          <w:lang w:val="en-GB" w:eastAsia="en-US"/>
        </w:rPr>
        <w:t>. This way the contracting authority ensures the health, safety and welfare of the data subjects and ensures the protection of EU funds by confirming that the contractors can implement their obligations. On the other hand, the contractors comply with their obligation of proper implementation of the contract.</w:t>
      </w:r>
    </w:p>
    <w:p w14:paraId="05F8C3D2" w14:textId="10F2D425" w:rsidR="006E5BE1" w:rsidRPr="00637256" w:rsidRDefault="006E5BE1" w:rsidP="006B6CEE">
      <w:pPr>
        <w:rPr>
          <w:rFonts w:eastAsia="Calibri"/>
          <w:sz w:val="22"/>
          <w:szCs w:val="22"/>
          <w:lang w:val="en-GB" w:eastAsia="en-US"/>
        </w:rPr>
      </w:pPr>
      <w:r w:rsidRPr="00637256">
        <w:rPr>
          <w:rFonts w:eastAsia="Calibri"/>
          <w:sz w:val="22"/>
          <w:szCs w:val="22"/>
          <w:lang w:val="en-GB" w:eastAsia="en-US"/>
        </w:rPr>
        <w:t xml:space="preserve">In certain circumstances, it is necessary to reconcile the rights of data subjects pursuant to Regulation (EU) 2018/1725 of the European Parliament and of the Council with the needs of investigations and confidentiality of exchanges of information with </w:t>
      </w:r>
      <w:r w:rsidR="00A0789A" w:rsidRPr="00637256">
        <w:rPr>
          <w:rFonts w:eastAsia="Calibri"/>
          <w:sz w:val="22"/>
          <w:szCs w:val="22"/>
          <w:lang w:val="en-GB" w:eastAsia="en-US"/>
        </w:rPr>
        <w:t>the</w:t>
      </w:r>
      <w:r w:rsidRPr="00637256">
        <w:rPr>
          <w:rFonts w:eastAsia="Calibri"/>
          <w:sz w:val="22"/>
          <w:szCs w:val="22"/>
          <w:lang w:val="en-GB" w:eastAsia="en-US"/>
        </w:rPr>
        <w:t xml:space="preserve"> competent public authorities, as well as with full respect for fundamental rights and freedoms of other data subjects. To that effect, Article 25 of that Regulation provides with the possibility to restrict the application of Articles 14 to 22, 35 and 36, as well as Article 4 thereof, insofar as its provisions correspond to the rights and obligations provided for in Articles 14 to 22.</w:t>
      </w:r>
    </w:p>
    <w:p w14:paraId="337CF880" w14:textId="77777777" w:rsidR="00E771E2" w:rsidRPr="00637256" w:rsidRDefault="006E5BE1" w:rsidP="006B6CEE">
      <w:pPr>
        <w:rPr>
          <w:rFonts w:eastAsia="Calibri"/>
          <w:sz w:val="22"/>
          <w:szCs w:val="22"/>
          <w:lang w:val="en-GB" w:eastAsia="en-US"/>
        </w:rPr>
      </w:pPr>
      <w:r w:rsidRPr="00637256">
        <w:rPr>
          <w:rFonts w:eastAsia="Calibri"/>
          <w:sz w:val="22"/>
          <w:szCs w:val="22"/>
          <w:lang w:val="en-GB" w:eastAsia="en-US"/>
        </w:rPr>
        <w:t xml:space="preserve">Commission Decision (EU) 2018/1962 of 11 December 2018 laying down internal rules concerning the processing of personal data by the European Anti-Fraud Office (OLAF) in relation to the provision of information to data subjects and the restriction of certain of their rights in accordance with Article 25 of Regulation (EU) 2018/1725 of the European Parliament and of the Council C/2018/8654 (OJ L 315, 12.12.2018, p. 41) encompasses the processing of personal data contained in information which the Commission’s services are required to transmit to OLAF. </w:t>
      </w:r>
      <w:r w:rsidR="00E771E2" w:rsidRPr="00637256">
        <w:rPr>
          <w:rFonts w:eastAsia="Calibri"/>
          <w:sz w:val="22"/>
          <w:szCs w:val="22"/>
          <w:lang w:val="en-GB" w:eastAsia="en-US"/>
        </w:rPr>
        <w:t>Where Commission services processes personal data in instances referred to in Article 1(3) of the Commission Decision (EU) 2018/1962, they may, where necessary, apply restrictions in accordance with this decision. To that end, they shall consult OLAF, unless it is clear to the Commission service or executive agency concerned that the application of a restriction is justified under this decision.</w:t>
      </w:r>
    </w:p>
    <w:p w14:paraId="6E93C1BE" w14:textId="77777777" w:rsidR="006B6CEE" w:rsidRPr="00637256" w:rsidRDefault="006B6CEE" w:rsidP="00AA2A1F">
      <w:pPr>
        <w:keepNext/>
        <w:numPr>
          <w:ilvl w:val="0"/>
          <w:numId w:val="21"/>
        </w:numPr>
        <w:spacing w:after="200"/>
        <w:ind w:left="714" w:hanging="357"/>
        <w:rPr>
          <w:rFonts w:eastAsia="Calibri"/>
          <w:b/>
          <w:sz w:val="22"/>
          <w:szCs w:val="22"/>
          <w:u w:val="single"/>
          <w:lang w:val="en-GB" w:eastAsia="en-US"/>
        </w:rPr>
      </w:pPr>
      <w:r w:rsidRPr="00637256">
        <w:rPr>
          <w:rFonts w:eastAsia="Calibri"/>
          <w:b/>
          <w:sz w:val="22"/>
          <w:szCs w:val="22"/>
          <w:u w:val="single"/>
          <w:lang w:val="en-GB" w:eastAsia="en-US"/>
        </w:rPr>
        <w:t>Which personal data do we collect and further process</w:t>
      </w:r>
      <w:r w:rsidRPr="00637256">
        <w:rPr>
          <w:rFonts w:eastAsia="Calibri"/>
          <w:i/>
          <w:sz w:val="22"/>
          <w:szCs w:val="22"/>
          <w:lang w:val="en-GB" w:eastAsia="en-US"/>
        </w:rPr>
        <w:t xml:space="preserve">? </w:t>
      </w:r>
    </w:p>
    <w:p w14:paraId="357C7DA6" w14:textId="064CFADA" w:rsidR="00D41A85" w:rsidRPr="00637256" w:rsidRDefault="006B6CEE" w:rsidP="007A7C48">
      <w:pPr>
        <w:rPr>
          <w:rFonts w:eastAsia="Cambria"/>
          <w:i/>
          <w:sz w:val="22"/>
          <w:szCs w:val="22"/>
          <w:lang w:val="en-GB" w:eastAsia="en-US"/>
        </w:rPr>
      </w:pPr>
      <w:r w:rsidRPr="00637256">
        <w:rPr>
          <w:rFonts w:eastAsia="Cambria"/>
          <w:sz w:val="22"/>
          <w:szCs w:val="22"/>
          <w:lang w:val="en-GB" w:eastAsia="en-US"/>
        </w:rPr>
        <w:t>In order to carry out this processing operation</w:t>
      </w:r>
      <w:r w:rsidR="009D6DFC" w:rsidRPr="00637256">
        <w:rPr>
          <w:rFonts w:eastAsia="Cambria"/>
          <w:sz w:val="22"/>
          <w:szCs w:val="22"/>
          <w:lang w:val="en-GB" w:eastAsia="en-US"/>
        </w:rPr>
        <w:t xml:space="preserve">, </w:t>
      </w:r>
      <w:r w:rsidR="0008433E" w:rsidRPr="006C4BD2">
        <w:rPr>
          <w:sz w:val="22"/>
          <w:szCs w:val="22"/>
          <w:highlight w:val="yellow"/>
          <w:lang w:val="en-GB"/>
        </w:rPr>
        <w:t xml:space="preserve">For DG </w:t>
      </w:r>
      <w:r w:rsidR="00AE2FD5">
        <w:rPr>
          <w:sz w:val="22"/>
          <w:szCs w:val="22"/>
          <w:lang w:val="en-GB"/>
        </w:rPr>
        <w:t xml:space="preserve">INTPA </w:t>
      </w:r>
      <w:r w:rsidR="0008433E" w:rsidRPr="006C4BD2">
        <w:rPr>
          <w:sz w:val="22"/>
          <w:szCs w:val="22"/>
          <w:lang w:val="en-GB"/>
        </w:rPr>
        <w:t>[</w:t>
      </w:r>
      <w:r w:rsidR="0008433E" w:rsidRPr="006C4BD2">
        <w:rPr>
          <w:sz w:val="22"/>
          <w:szCs w:val="22"/>
          <w:highlight w:val="lightGray"/>
          <w:lang w:val="en-GB"/>
        </w:rPr>
        <w:t xml:space="preserve">Directorate-General for </w:t>
      </w:r>
      <w:r w:rsidR="00AE2FD5" w:rsidRPr="002C3C2B">
        <w:rPr>
          <w:sz w:val="22"/>
          <w:szCs w:val="22"/>
          <w:highlight w:val="lightGray"/>
          <w:lang w:val="en-US"/>
        </w:rPr>
        <w:t>International Partnerships</w:t>
      </w:r>
      <w:r w:rsidR="0008433E" w:rsidRPr="006C4BD2">
        <w:rPr>
          <w:sz w:val="22"/>
          <w:szCs w:val="22"/>
          <w:lang w:val="en-GB"/>
        </w:rPr>
        <w:t>]</w:t>
      </w:r>
      <w:r w:rsidR="00901810">
        <w:rPr>
          <w:sz w:val="22"/>
          <w:szCs w:val="22"/>
          <w:lang w:val="en-GB"/>
        </w:rPr>
        <w:t xml:space="preserve"> </w:t>
      </w:r>
      <w:r w:rsidR="0008433E" w:rsidRPr="00F376B4">
        <w:rPr>
          <w:sz w:val="22"/>
          <w:szCs w:val="22"/>
          <w:highlight w:val="yellow"/>
          <w:lang w:val="en-GB"/>
        </w:rPr>
        <w:t xml:space="preserve">For DG </w:t>
      </w:r>
      <w:proofErr w:type="gramStart"/>
      <w:r w:rsidR="0008433E" w:rsidRPr="00F376B4">
        <w:rPr>
          <w:sz w:val="22"/>
          <w:szCs w:val="22"/>
          <w:highlight w:val="yellow"/>
          <w:lang w:val="en-GB"/>
        </w:rPr>
        <w:t>NEAR</w:t>
      </w:r>
      <w:r w:rsidR="0008433E">
        <w:rPr>
          <w:sz w:val="22"/>
          <w:szCs w:val="22"/>
          <w:lang w:val="en-GB"/>
        </w:rPr>
        <w:t>[</w:t>
      </w:r>
      <w:proofErr w:type="gramEnd"/>
      <w:r w:rsidR="0008433E" w:rsidRPr="00F376B4">
        <w:rPr>
          <w:sz w:val="22"/>
          <w:szCs w:val="22"/>
          <w:highlight w:val="lightGray"/>
          <w:lang w:val="en-GB"/>
        </w:rPr>
        <w:t>Directorate-General for Neighbourhood and Enlargement Negotiations]</w:t>
      </w:r>
      <w:r w:rsidR="0008433E">
        <w:rPr>
          <w:sz w:val="22"/>
          <w:szCs w:val="22"/>
          <w:lang w:val="en-GB"/>
        </w:rPr>
        <w:t xml:space="preserve"> </w:t>
      </w:r>
      <w:r w:rsidR="0008433E" w:rsidRPr="00F8704C">
        <w:rPr>
          <w:sz w:val="22"/>
          <w:szCs w:val="22"/>
          <w:highlight w:val="yellow"/>
          <w:lang w:val="en-GB"/>
        </w:rPr>
        <w:t>For FPI</w:t>
      </w:r>
      <w:r w:rsidR="0008433E">
        <w:rPr>
          <w:sz w:val="22"/>
          <w:szCs w:val="22"/>
          <w:lang w:val="en-GB"/>
        </w:rPr>
        <w:t xml:space="preserve"> [</w:t>
      </w:r>
      <w:r w:rsidR="0008433E" w:rsidRPr="00F8704C">
        <w:rPr>
          <w:sz w:val="22"/>
          <w:szCs w:val="22"/>
          <w:highlight w:val="lightGray"/>
          <w:lang w:val="en-GB"/>
        </w:rPr>
        <w:t>FPI</w:t>
      </w:r>
      <w:r w:rsidR="0008433E">
        <w:rPr>
          <w:sz w:val="22"/>
          <w:szCs w:val="22"/>
          <w:lang w:val="en-GB"/>
        </w:rPr>
        <w:t>]</w:t>
      </w:r>
      <w:r w:rsidRPr="00637256">
        <w:rPr>
          <w:rFonts w:eastAsia="Cambria"/>
          <w:sz w:val="22"/>
          <w:szCs w:val="22"/>
          <w:lang w:val="en-GB" w:eastAsia="en-US"/>
        </w:rPr>
        <w:t xml:space="preserve">collects the following categories of personal data: </w:t>
      </w:r>
    </w:p>
    <w:p w14:paraId="3CA08626" w14:textId="38992C63" w:rsidR="00D41A85" w:rsidRPr="00637256" w:rsidRDefault="00D41A85" w:rsidP="00D41A85">
      <w:pPr>
        <w:pStyle w:val="NormalWeb"/>
        <w:jc w:val="both"/>
        <w:rPr>
          <w:sz w:val="22"/>
          <w:szCs w:val="22"/>
        </w:rPr>
      </w:pPr>
      <w:r w:rsidRPr="00637256">
        <w:rPr>
          <w:rFonts w:eastAsiaTheme="minorHAnsi"/>
          <w:sz w:val="22"/>
          <w:szCs w:val="22"/>
          <w:lang w:eastAsia="en-US"/>
        </w:rPr>
        <w:t>A. Personal data of</w:t>
      </w:r>
      <w:r w:rsidRPr="00637256">
        <w:rPr>
          <w:sz w:val="22"/>
          <w:szCs w:val="22"/>
        </w:rPr>
        <w:t xml:space="preserve"> members of the</w:t>
      </w:r>
      <w:r w:rsidR="00172D8D" w:rsidRPr="00637256">
        <w:rPr>
          <w:sz w:val="22"/>
          <w:szCs w:val="22"/>
        </w:rPr>
        <w:t xml:space="preserve"> Commission</w:t>
      </w:r>
      <w:r w:rsidRPr="00637256">
        <w:rPr>
          <w:sz w:val="22"/>
          <w:szCs w:val="22"/>
        </w:rPr>
        <w:t xml:space="preserve"> staff</w:t>
      </w:r>
      <w:r w:rsidR="00702EE4" w:rsidRPr="00637256">
        <w:rPr>
          <w:rStyle w:val="FootnoteReference"/>
          <w:sz w:val="22"/>
          <w:szCs w:val="22"/>
        </w:rPr>
        <w:footnoteReference w:id="5"/>
      </w:r>
      <w:r w:rsidRPr="00637256">
        <w:rPr>
          <w:sz w:val="22"/>
          <w:szCs w:val="22"/>
        </w:rPr>
        <w:t xml:space="preserve"> in both HQ and EUDEL and/or any </w:t>
      </w:r>
      <w:r w:rsidRPr="00637256">
        <w:rPr>
          <w:i/>
          <w:sz w:val="22"/>
          <w:szCs w:val="22"/>
        </w:rPr>
        <w:t xml:space="preserve">intra </w:t>
      </w:r>
      <w:proofErr w:type="spellStart"/>
      <w:r w:rsidRPr="00637256">
        <w:rPr>
          <w:i/>
          <w:sz w:val="22"/>
          <w:szCs w:val="22"/>
        </w:rPr>
        <w:t>muro</w:t>
      </w:r>
      <w:r w:rsidRPr="00637256">
        <w:rPr>
          <w:sz w:val="22"/>
          <w:szCs w:val="22"/>
        </w:rPr>
        <w:t>s</w:t>
      </w:r>
      <w:proofErr w:type="spellEnd"/>
      <w:r w:rsidRPr="00637256">
        <w:rPr>
          <w:sz w:val="22"/>
          <w:szCs w:val="22"/>
        </w:rPr>
        <w:t xml:space="preserve"> service provider of involved in procurement/grant award procedures and/or contract implementation, which may include in particular:</w:t>
      </w:r>
    </w:p>
    <w:p w14:paraId="7547221D"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Name;</w:t>
      </w:r>
    </w:p>
    <w:p w14:paraId="44F4A939"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Function;</w:t>
      </w:r>
    </w:p>
    <w:p w14:paraId="790CBEC1"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Title;</w:t>
      </w:r>
    </w:p>
    <w:p w14:paraId="78FEE427"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Contact details (e-mail address, business telephone number, mobile telephone number, fax number, postal address, department and office number, country of residence);</w:t>
      </w:r>
    </w:p>
    <w:p w14:paraId="658397B0"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Signature;</w:t>
      </w:r>
    </w:p>
    <w:p w14:paraId="045F2DF5"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Opinions;</w:t>
      </w:r>
    </w:p>
    <w:p w14:paraId="5272BC83"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Declarations on honour that the person is not in situation of conflict of interest, that they will execute their responsibilities impartially, objectively and bound by confidentiality.</w:t>
      </w:r>
    </w:p>
    <w:p w14:paraId="16B6C363" w14:textId="77777777" w:rsidR="00D41A85" w:rsidRPr="00637256" w:rsidRDefault="00D41A85" w:rsidP="00D41A85">
      <w:pPr>
        <w:pStyle w:val="NormalWeb"/>
        <w:spacing w:before="0" w:beforeAutospacing="0" w:after="0" w:afterAutospacing="0"/>
        <w:jc w:val="both"/>
        <w:rPr>
          <w:sz w:val="22"/>
          <w:szCs w:val="22"/>
        </w:rPr>
      </w:pPr>
    </w:p>
    <w:p w14:paraId="7C725F9D" w14:textId="7043043A" w:rsidR="00702EE4" w:rsidRPr="00637256" w:rsidRDefault="00D41A85" w:rsidP="00702EE4">
      <w:pPr>
        <w:pStyle w:val="NormalWeb"/>
        <w:jc w:val="both"/>
        <w:rPr>
          <w:sz w:val="22"/>
          <w:szCs w:val="22"/>
        </w:rPr>
      </w:pPr>
      <w:r w:rsidRPr="00637256">
        <w:rPr>
          <w:sz w:val="22"/>
          <w:szCs w:val="22"/>
        </w:rPr>
        <w:t>B. Personal data of partner country representatives concluding financing agreements with the Commission, acting as contact points and/or participating as members and/or observers in evaluation committees</w:t>
      </w:r>
      <w:r w:rsidR="009D6DFC" w:rsidRPr="00637256">
        <w:rPr>
          <w:sz w:val="22"/>
          <w:szCs w:val="22"/>
        </w:rPr>
        <w:t>.</w:t>
      </w:r>
      <w:r w:rsidR="00702EE4" w:rsidRPr="00637256">
        <w:rPr>
          <w:sz w:val="22"/>
          <w:szCs w:val="22"/>
        </w:rPr>
        <w:t xml:space="preserve"> </w:t>
      </w:r>
      <w:r w:rsidR="004D7EFA" w:rsidRPr="00637256">
        <w:rPr>
          <w:sz w:val="22"/>
          <w:szCs w:val="22"/>
        </w:rPr>
        <w:t xml:space="preserve"> </w:t>
      </w:r>
      <w:r w:rsidR="004D7EFA" w:rsidRPr="00AE09CA">
        <w:rPr>
          <w:sz w:val="22"/>
          <w:szCs w:val="22"/>
          <w:highlight w:val="yellow"/>
        </w:rPr>
        <w:t xml:space="preserve">For DG </w:t>
      </w:r>
      <w:r w:rsidR="004D7EFA" w:rsidRPr="0008433E">
        <w:rPr>
          <w:sz w:val="22"/>
          <w:szCs w:val="22"/>
          <w:highlight w:val="yellow"/>
        </w:rPr>
        <w:t>NEAR</w:t>
      </w:r>
      <w:r w:rsidR="0008433E" w:rsidRPr="00F8704C">
        <w:rPr>
          <w:sz w:val="22"/>
          <w:szCs w:val="22"/>
          <w:highlight w:val="yellow"/>
        </w:rPr>
        <w:t xml:space="preserve"> please add</w:t>
      </w:r>
      <w:r w:rsidR="00B63152" w:rsidRPr="00637256">
        <w:rPr>
          <w:sz w:val="22"/>
          <w:szCs w:val="22"/>
        </w:rPr>
        <w:t xml:space="preserve"> </w:t>
      </w:r>
      <w:r w:rsidR="00AE09CA">
        <w:rPr>
          <w:sz w:val="22"/>
          <w:szCs w:val="22"/>
        </w:rPr>
        <w:t>[</w:t>
      </w:r>
      <w:r w:rsidR="00702EE4" w:rsidRPr="00AE09CA">
        <w:rPr>
          <w:sz w:val="22"/>
          <w:szCs w:val="22"/>
          <w:highlight w:val="lightGray"/>
        </w:rPr>
        <w:t>personal data of structures and authorities needed for the management, control, supervision, monitoring, evaluation, reporting and internal audit for IPA</w:t>
      </w:r>
      <w:r w:rsidR="009D6DFC" w:rsidRPr="00AE09CA">
        <w:rPr>
          <w:sz w:val="22"/>
          <w:szCs w:val="22"/>
          <w:highlight w:val="lightGray"/>
        </w:rPr>
        <w:t>.</w:t>
      </w:r>
      <w:r w:rsidR="00AE09CA">
        <w:rPr>
          <w:sz w:val="22"/>
          <w:szCs w:val="22"/>
        </w:rPr>
        <w:t>]</w:t>
      </w:r>
    </w:p>
    <w:p w14:paraId="4ACB0225"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Name;</w:t>
      </w:r>
    </w:p>
    <w:p w14:paraId="691E25DF"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Function;</w:t>
      </w:r>
    </w:p>
    <w:p w14:paraId="449FD373"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Title;</w:t>
      </w:r>
    </w:p>
    <w:p w14:paraId="427FAAC9"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Contact details (e-mail address, business telephone number, mobile telephone number, fax number, postal address, department and office number, country of residence);</w:t>
      </w:r>
    </w:p>
    <w:p w14:paraId="36C7A9DA"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Signature;</w:t>
      </w:r>
    </w:p>
    <w:p w14:paraId="24CBD8F4"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Opinions;</w:t>
      </w:r>
    </w:p>
    <w:p w14:paraId="3B4ECA6E" w14:textId="77777777" w:rsidR="00D41A85" w:rsidRPr="00637256" w:rsidRDefault="00D41A85" w:rsidP="00D41A85">
      <w:pPr>
        <w:spacing w:after="0"/>
        <w:rPr>
          <w:sz w:val="22"/>
          <w:szCs w:val="22"/>
          <w:lang w:val="en-GB"/>
        </w:rPr>
      </w:pPr>
      <w:r w:rsidRPr="00637256">
        <w:rPr>
          <w:sz w:val="22"/>
          <w:szCs w:val="22"/>
          <w:lang w:val="en-GB"/>
        </w:rPr>
        <w:t>• Declarations on honour that the person is not in situation of conflict of interest, that they will execute their responsibilities impartially, objectively and bound by confidentiality.</w:t>
      </w:r>
    </w:p>
    <w:p w14:paraId="58B8A3DE" w14:textId="77777777" w:rsidR="00D41A85" w:rsidRPr="00637256" w:rsidRDefault="00D41A85" w:rsidP="00D41A85">
      <w:pPr>
        <w:spacing w:after="0"/>
        <w:rPr>
          <w:sz w:val="22"/>
          <w:szCs w:val="22"/>
          <w:lang w:val="en-GB"/>
        </w:rPr>
      </w:pPr>
    </w:p>
    <w:p w14:paraId="3E73678C" w14:textId="77777777" w:rsidR="00D41A85" w:rsidRPr="00637256" w:rsidRDefault="00D41A85" w:rsidP="00637256">
      <w:pPr>
        <w:spacing w:after="100" w:afterAutospacing="1"/>
        <w:rPr>
          <w:sz w:val="22"/>
          <w:szCs w:val="22"/>
          <w:lang w:val="en-GB"/>
        </w:rPr>
      </w:pPr>
      <w:r w:rsidRPr="00637256">
        <w:rPr>
          <w:sz w:val="22"/>
          <w:szCs w:val="22"/>
          <w:lang w:val="en-GB"/>
        </w:rPr>
        <w:t>C. Personal data of tenderers, grant applicants, their staff, subcontractors, proposed experts, which may include in particular:</w:t>
      </w:r>
    </w:p>
    <w:p w14:paraId="6C582EE9" w14:textId="77777777" w:rsidR="00D41A85" w:rsidRPr="00637256" w:rsidRDefault="00D41A85" w:rsidP="00D41A85">
      <w:pPr>
        <w:spacing w:after="0"/>
        <w:rPr>
          <w:sz w:val="22"/>
          <w:szCs w:val="22"/>
          <w:lang w:val="en-GB"/>
        </w:rPr>
      </w:pPr>
      <w:r w:rsidRPr="00637256">
        <w:rPr>
          <w:sz w:val="22"/>
          <w:szCs w:val="22"/>
          <w:lang w:val="en-GB"/>
        </w:rPr>
        <w:t>• Name;</w:t>
      </w:r>
    </w:p>
    <w:p w14:paraId="0E0CA4AC" w14:textId="77777777" w:rsidR="00D41A85" w:rsidRPr="00637256" w:rsidRDefault="00D41A85" w:rsidP="00D41A85">
      <w:pPr>
        <w:spacing w:after="0"/>
        <w:rPr>
          <w:sz w:val="22"/>
          <w:szCs w:val="22"/>
          <w:lang w:val="en-GB"/>
        </w:rPr>
      </w:pPr>
      <w:r w:rsidRPr="00637256">
        <w:rPr>
          <w:sz w:val="22"/>
          <w:szCs w:val="22"/>
          <w:lang w:val="en-GB"/>
        </w:rPr>
        <w:t>• Function;</w:t>
      </w:r>
    </w:p>
    <w:p w14:paraId="16161010"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Title;</w:t>
      </w:r>
    </w:p>
    <w:p w14:paraId="6772E46A" w14:textId="77777777" w:rsidR="00D41A85" w:rsidRPr="00637256" w:rsidRDefault="00D41A85" w:rsidP="00D41A85">
      <w:pPr>
        <w:spacing w:after="0"/>
        <w:rPr>
          <w:sz w:val="22"/>
          <w:szCs w:val="22"/>
          <w:lang w:val="en-GB"/>
        </w:rPr>
      </w:pPr>
      <w:r w:rsidRPr="00637256">
        <w:rPr>
          <w:sz w:val="22"/>
          <w:szCs w:val="22"/>
          <w:lang w:val="en-GB"/>
        </w:rPr>
        <w:t>• Contact details (e-mail address, business telephone number, mobile telephone number, fax number, postal address, company and department, country of residence, internet address);</w:t>
      </w:r>
    </w:p>
    <w:p w14:paraId="3DB1B5F6" w14:textId="77777777" w:rsidR="00D41A85" w:rsidRPr="00637256" w:rsidRDefault="00D41A85" w:rsidP="00D41A85">
      <w:pPr>
        <w:spacing w:after="0"/>
        <w:rPr>
          <w:sz w:val="22"/>
          <w:szCs w:val="22"/>
          <w:lang w:val="en-GB"/>
        </w:rPr>
      </w:pPr>
      <w:r w:rsidRPr="00637256">
        <w:rPr>
          <w:sz w:val="22"/>
          <w:szCs w:val="22"/>
          <w:lang w:val="en-GB"/>
        </w:rPr>
        <w:t>• Certificates for social security contributions and taxes paid, extract from judicial records;</w:t>
      </w:r>
    </w:p>
    <w:p w14:paraId="659E7715" w14:textId="4562D392" w:rsidR="00D41A85" w:rsidRPr="00637256" w:rsidRDefault="00D41A85" w:rsidP="00D41A85">
      <w:pPr>
        <w:spacing w:after="0"/>
        <w:rPr>
          <w:sz w:val="22"/>
          <w:szCs w:val="22"/>
          <w:lang w:val="en-GB"/>
        </w:rPr>
      </w:pPr>
      <w:r w:rsidRPr="00637256">
        <w:rPr>
          <w:sz w:val="22"/>
          <w:szCs w:val="22"/>
          <w:lang w:val="en-GB"/>
        </w:rPr>
        <w:t>• Bank account reference (IBAN and BIC codes), VAT number, passport number, ID number</w:t>
      </w:r>
      <w:r w:rsidR="00E17D81" w:rsidRPr="00637256">
        <w:rPr>
          <w:sz w:val="22"/>
          <w:szCs w:val="22"/>
          <w:lang w:val="en-GB"/>
        </w:rPr>
        <w:t xml:space="preserve">. These personal data might be further processed for the purpose of registration of the legal entity and bank account records in the central European Commission accounting system (ABAC) </w:t>
      </w:r>
      <w:r w:rsidR="008F5233" w:rsidRPr="00637256">
        <w:rPr>
          <w:sz w:val="22"/>
          <w:szCs w:val="22"/>
          <w:lang w:val="en-GB"/>
        </w:rPr>
        <w:t>and</w:t>
      </w:r>
      <w:r w:rsidR="00E17D81" w:rsidRPr="00637256">
        <w:rPr>
          <w:sz w:val="22"/>
          <w:szCs w:val="22"/>
          <w:lang w:val="en-GB"/>
        </w:rPr>
        <w:t xml:space="preserve"> enabling financial transaction</w:t>
      </w:r>
      <w:r w:rsidR="008F5233" w:rsidRPr="00637256">
        <w:rPr>
          <w:sz w:val="22"/>
          <w:szCs w:val="22"/>
          <w:lang w:val="en-GB"/>
        </w:rPr>
        <w:t xml:space="preserve">. The processing of personal data to ABAC is covered by </w:t>
      </w:r>
      <w:hyperlink r:id="rId16" w:history="1">
        <w:r w:rsidR="008F5233" w:rsidRPr="00637256">
          <w:rPr>
            <w:rStyle w:val="Hyperlink"/>
            <w:sz w:val="22"/>
            <w:szCs w:val="22"/>
            <w:lang w:val="en-IE"/>
          </w:rPr>
          <w:t>DPR-EC-00301</w:t>
        </w:r>
      </w:hyperlink>
      <w:r w:rsidRPr="00637256">
        <w:rPr>
          <w:sz w:val="22"/>
          <w:szCs w:val="22"/>
          <w:lang w:val="en-GB"/>
        </w:rPr>
        <w:t>;</w:t>
      </w:r>
    </w:p>
    <w:p w14:paraId="0B4B3CDF" w14:textId="77777777" w:rsidR="00D41A85" w:rsidRPr="00637256" w:rsidRDefault="00D41A85" w:rsidP="00D41A85">
      <w:pPr>
        <w:spacing w:after="0"/>
        <w:rPr>
          <w:sz w:val="22"/>
          <w:szCs w:val="22"/>
          <w:lang w:val="en-GB"/>
        </w:rPr>
      </w:pPr>
      <w:r w:rsidRPr="00637256">
        <w:rPr>
          <w:sz w:val="22"/>
          <w:szCs w:val="22"/>
          <w:lang w:val="en-GB"/>
        </w:rPr>
        <w:t>• Information for the evaluation of selection criteria: expertise, technical skills and languages, educational background, professional experience including details on current and past employment;</w:t>
      </w:r>
    </w:p>
    <w:p w14:paraId="606ADB20" w14:textId="582FDF80" w:rsidR="00D41A85" w:rsidRPr="00637256" w:rsidRDefault="00D41A85" w:rsidP="00D41A85">
      <w:pPr>
        <w:spacing w:after="0"/>
        <w:rPr>
          <w:sz w:val="22"/>
          <w:szCs w:val="22"/>
          <w:lang w:val="en-GB"/>
        </w:rPr>
      </w:pPr>
      <w:r w:rsidRPr="00637256">
        <w:rPr>
          <w:sz w:val="22"/>
          <w:szCs w:val="22"/>
          <w:lang w:val="en-GB"/>
        </w:rPr>
        <w:t xml:space="preserve">• Declaration that they are not in one of the exclusion situations referred to in Articles 136 – 141 of the </w:t>
      </w:r>
      <w:r w:rsidR="004A26D0" w:rsidRPr="00637256">
        <w:rPr>
          <w:sz w:val="22"/>
          <w:szCs w:val="22"/>
          <w:lang w:val="en-GB"/>
        </w:rPr>
        <w:t xml:space="preserve">EU </w:t>
      </w:r>
      <w:r w:rsidRPr="00637256">
        <w:rPr>
          <w:sz w:val="22"/>
          <w:szCs w:val="22"/>
          <w:lang w:val="en-GB"/>
        </w:rPr>
        <w:t>Financial Regulation;</w:t>
      </w:r>
    </w:p>
    <w:p w14:paraId="421E7E5F" w14:textId="67F72801" w:rsidR="00AE2FD5" w:rsidRPr="00637256" w:rsidRDefault="00D41A85" w:rsidP="00D41A85">
      <w:pPr>
        <w:spacing w:after="0"/>
        <w:rPr>
          <w:sz w:val="22"/>
          <w:szCs w:val="22"/>
          <w:lang w:val="en-GB"/>
        </w:rPr>
      </w:pPr>
      <w:r w:rsidRPr="00637256">
        <w:rPr>
          <w:sz w:val="22"/>
          <w:szCs w:val="22"/>
          <w:lang w:val="en-GB"/>
        </w:rPr>
        <w:t>• Declaration of availability of experts.</w:t>
      </w:r>
    </w:p>
    <w:p w14:paraId="3C603E7A" w14:textId="0E22DA3A" w:rsidR="00D41A85" w:rsidRPr="00637256" w:rsidRDefault="00FC54AB" w:rsidP="007A7C48">
      <w:pPr>
        <w:spacing w:after="0"/>
        <w:rPr>
          <w:sz w:val="22"/>
          <w:szCs w:val="22"/>
          <w:lang w:val="en-GB"/>
        </w:rPr>
      </w:pPr>
      <w:r w:rsidRPr="00637256">
        <w:rPr>
          <w:sz w:val="22"/>
          <w:szCs w:val="22"/>
          <w:lang w:val="en-GB"/>
        </w:rPr>
        <w:t>S</w:t>
      </w:r>
      <w:r w:rsidR="00D41A85" w:rsidRPr="00637256">
        <w:rPr>
          <w:sz w:val="22"/>
          <w:szCs w:val="22"/>
          <w:lang w:val="en-GB"/>
        </w:rPr>
        <w:t>ince the information is often provided on CV, the tenderers, staff or subcontractors may supply additional information, s</w:t>
      </w:r>
      <w:r w:rsidR="007A7C48" w:rsidRPr="00637256">
        <w:rPr>
          <w:sz w:val="22"/>
          <w:szCs w:val="22"/>
          <w:lang w:val="en-GB"/>
        </w:rPr>
        <w:t>uch as gender, age, nationality;</w:t>
      </w:r>
    </w:p>
    <w:p w14:paraId="58B741C6" w14:textId="7A1EEFBD" w:rsidR="00831C12" w:rsidRPr="00637256" w:rsidRDefault="00FC54AB" w:rsidP="007A7C48">
      <w:pPr>
        <w:spacing w:after="0"/>
        <w:rPr>
          <w:sz w:val="22"/>
          <w:szCs w:val="22"/>
          <w:lang w:val="en-GB"/>
        </w:rPr>
      </w:pPr>
      <w:r w:rsidRPr="00637256">
        <w:rPr>
          <w:sz w:val="22"/>
          <w:szCs w:val="22"/>
          <w:lang w:val="en-GB"/>
        </w:rPr>
        <w:t xml:space="preserve">• Personal data in relation to the exclusion situation(s) referred to in Articles 136 – 141 of the </w:t>
      </w:r>
      <w:r w:rsidR="004A26D0" w:rsidRPr="00637256">
        <w:rPr>
          <w:sz w:val="22"/>
          <w:szCs w:val="22"/>
          <w:lang w:val="en-GB"/>
        </w:rPr>
        <w:t xml:space="preserve">EU </w:t>
      </w:r>
      <w:r w:rsidRPr="00637256">
        <w:rPr>
          <w:sz w:val="22"/>
          <w:szCs w:val="22"/>
          <w:lang w:val="en-GB"/>
        </w:rPr>
        <w:t xml:space="preserve">Financial Regulation, including those provided in the ‘declaration on honour for exclusion and selection’, those available in the EDES (Early Detection and Exclusion System) database, as well as in judgments/decisions declaring a person to be in one of the exclusion situations set out in Article 136 of the </w:t>
      </w:r>
      <w:r w:rsidR="004A26D0" w:rsidRPr="00637256">
        <w:rPr>
          <w:sz w:val="22"/>
          <w:szCs w:val="22"/>
          <w:lang w:val="en-GB"/>
        </w:rPr>
        <w:t xml:space="preserve">EU </w:t>
      </w:r>
      <w:r w:rsidRPr="00637256">
        <w:rPr>
          <w:sz w:val="22"/>
          <w:szCs w:val="22"/>
          <w:lang w:val="en-GB"/>
        </w:rPr>
        <w:t xml:space="preserve">Financial Regulation. </w:t>
      </w:r>
    </w:p>
    <w:p w14:paraId="4094209E" w14:textId="7E0E484F" w:rsidR="00FC54AB" w:rsidRPr="00637256" w:rsidRDefault="00FC54AB">
      <w:pPr>
        <w:rPr>
          <w:sz w:val="22"/>
          <w:szCs w:val="22"/>
          <w:lang w:val="en-GB"/>
        </w:rPr>
      </w:pPr>
      <w:r w:rsidRPr="00637256">
        <w:rPr>
          <w:sz w:val="22"/>
          <w:szCs w:val="22"/>
          <w:lang w:val="en-GB"/>
        </w:rPr>
        <w:t>EDES is the system established by the Commission in 2016 to reinforce the protection of the Union's financial interests against unreliable natural or legal person, including a public entity, or a group of such persons, who offers to supply products, execute works or provide services or supply immovable property in order to ensure sound financial management and help achieving transparency.</w:t>
      </w:r>
      <w:r w:rsidR="00390EF3" w:rsidRPr="00637256">
        <w:rPr>
          <w:sz w:val="22"/>
          <w:szCs w:val="22"/>
          <w:lang w:val="en-IE"/>
        </w:rPr>
        <w:t xml:space="preserve"> </w:t>
      </w:r>
      <w:r w:rsidR="00390EF3" w:rsidRPr="00637256">
        <w:rPr>
          <w:sz w:val="22"/>
          <w:szCs w:val="22"/>
          <w:lang w:val="en-GB"/>
        </w:rPr>
        <w:t xml:space="preserve">The processing of personal data related to EDES is covered by </w:t>
      </w:r>
      <w:hyperlink r:id="rId17" w:history="1">
        <w:r w:rsidR="00390EF3" w:rsidRPr="00637256">
          <w:rPr>
            <w:rStyle w:val="Hyperlink"/>
            <w:sz w:val="22"/>
            <w:szCs w:val="22"/>
            <w:lang w:val="en-IE"/>
          </w:rPr>
          <w:t>DPR-EC-04410</w:t>
        </w:r>
      </w:hyperlink>
      <w:r w:rsidR="00390EF3" w:rsidRPr="00637256">
        <w:rPr>
          <w:sz w:val="22"/>
          <w:szCs w:val="22"/>
          <w:lang w:val="en-GB"/>
        </w:rPr>
        <w:t>.</w:t>
      </w:r>
    </w:p>
    <w:p w14:paraId="5349931B" w14:textId="77777777" w:rsidR="00D41A85" w:rsidRPr="00637256" w:rsidRDefault="00D41A85" w:rsidP="007A7C48">
      <w:pPr>
        <w:spacing w:after="100" w:afterAutospacing="1"/>
        <w:rPr>
          <w:sz w:val="22"/>
          <w:szCs w:val="22"/>
          <w:lang w:val="en-GB"/>
        </w:rPr>
      </w:pPr>
      <w:r w:rsidRPr="00637256">
        <w:rPr>
          <w:sz w:val="22"/>
          <w:szCs w:val="22"/>
          <w:lang w:val="en-GB"/>
        </w:rPr>
        <w:t>D. Personal data of reference persons mentioned in the CVs of key experts, which may include in particular:</w:t>
      </w:r>
    </w:p>
    <w:p w14:paraId="489D42E8" w14:textId="77777777" w:rsidR="00D41A85" w:rsidRPr="00637256" w:rsidRDefault="00D41A85" w:rsidP="00D41A85">
      <w:pPr>
        <w:spacing w:after="0"/>
        <w:rPr>
          <w:sz w:val="22"/>
          <w:szCs w:val="22"/>
          <w:lang w:val="en-GB"/>
        </w:rPr>
      </w:pPr>
      <w:r w:rsidRPr="00637256">
        <w:rPr>
          <w:sz w:val="22"/>
          <w:szCs w:val="22"/>
          <w:lang w:val="en-GB"/>
        </w:rPr>
        <w:t>• Name;</w:t>
      </w:r>
    </w:p>
    <w:p w14:paraId="541C9ECA" w14:textId="77777777" w:rsidR="00D41A85" w:rsidRPr="00637256" w:rsidRDefault="00D41A85" w:rsidP="00D41A85">
      <w:pPr>
        <w:spacing w:after="0"/>
        <w:rPr>
          <w:sz w:val="22"/>
          <w:szCs w:val="22"/>
          <w:lang w:val="en-GB"/>
        </w:rPr>
      </w:pPr>
      <w:r w:rsidRPr="00637256">
        <w:rPr>
          <w:sz w:val="22"/>
          <w:szCs w:val="22"/>
          <w:lang w:val="en-GB"/>
        </w:rPr>
        <w:t>• Contact details.</w:t>
      </w:r>
    </w:p>
    <w:p w14:paraId="6904836C" w14:textId="77777777" w:rsidR="00D41A85" w:rsidRPr="00637256" w:rsidRDefault="00D41A85" w:rsidP="00D41A85">
      <w:pPr>
        <w:spacing w:after="0"/>
        <w:rPr>
          <w:sz w:val="22"/>
          <w:szCs w:val="22"/>
          <w:lang w:val="en-GB"/>
        </w:rPr>
      </w:pPr>
    </w:p>
    <w:p w14:paraId="6D32B07B" w14:textId="77777777" w:rsidR="00D41A85" w:rsidRPr="00637256" w:rsidRDefault="00D41A85" w:rsidP="007A7C48">
      <w:pPr>
        <w:spacing w:after="100" w:afterAutospacing="1"/>
        <w:rPr>
          <w:sz w:val="22"/>
          <w:szCs w:val="22"/>
          <w:lang w:val="en-GB"/>
        </w:rPr>
      </w:pPr>
      <w:r w:rsidRPr="00637256">
        <w:rPr>
          <w:sz w:val="22"/>
          <w:szCs w:val="22"/>
          <w:lang w:val="en-GB"/>
        </w:rPr>
        <w:t>E. Personal data processed in the context of project implementation – financial execution of services, supplies, works and grant contracts, which may include in particular:</w:t>
      </w:r>
    </w:p>
    <w:p w14:paraId="4CA94E40" w14:textId="77777777" w:rsidR="00D41A85" w:rsidRPr="00637256" w:rsidRDefault="00D41A85" w:rsidP="00D41A85">
      <w:pPr>
        <w:spacing w:after="0"/>
        <w:rPr>
          <w:sz w:val="22"/>
          <w:szCs w:val="22"/>
          <w:lang w:val="en-GB"/>
        </w:rPr>
      </w:pPr>
      <w:r w:rsidRPr="00637256">
        <w:rPr>
          <w:sz w:val="22"/>
          <w:szCs w:val="22"/>
          <w:lang w:val="en-GB"/>
        </w:rPr>
        <w:t>• Name;</w:t>
      </w:r>
    </w:p>
    <w:p w14:paraId="162BD8ED" w14:textId="77777777" w:rsidR="00D41A85" w:rsidRPr="00637256" w:rsidRDefault="00D41A85" w:rsidP="00D41A85">
      <w:pPr>
        <w:spacing w:after="0"/>
        <w:rPr>
          <w:sz w:val="22"/>
          <w:szCs w:val="22"/>
          <w:lang w:val="en-GB"/>
        </w:rPr>
      </w:pPr>
      <w:r w:rsidRPr="00637256">
        <w:rPr>
          <w:sz w:val="22"/>
          <w:szCs w:val="22"/>
          <w:lang w:val="en-GB"/>
        </w:rPr>
        <w:t>• Function;</w:t>
      </w:r>
    </w:p>
    <w:p w14:paraId="2B2DB040"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Title;</w:t>
      </w:r>
    </w:p>
    <w:p w14:paraId="12CF4AEA" w14:textId="77777777" w:rsidR="00D41A85" w:rsidRPr="00637256" w:rsidRDefault="00D41A85" w:rsidP="00D41A85">
      <w:pPr>
        <w:spacing w:after="0"/>
        <w:rPr>
          <w:sz w:val="22"/>
          <w:szCs w:val="22"/>
          <w:lang w:val="en-GB"/>
        </w:rPr>
      </w:pPr>
      <w:r w:rsidRPr="00637256">
        <w:rPr>
          <w:sz w:val="22"/>
          <w:szCs w:val="22"/>
          <w:lang w:val="en-GB"/>
        </w:rPr>
        <w:t>• Contact details (e-mail address, business telephone number, mobile telephone number, fax number, postal address, company and department, country of residence, internet address);</w:t>
      </w:r>
    </w:p>
    <w:p w14:paraId="3579A74F"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Signature;</w:t>
      </w:r>
    </w:p>
    <w:p w14:paraId="1714534D" w14:textId="77777777" w:rsidR="00D41A85" w:rsidRPr="00637256" w:rsidRDefault="00D41A85" w:rsidP="00D41A85">
      <w:pPr>
        <w:pStyle w:val="NormalWeb"/>
        <w:spacing w:before="0" w:beforeAutospacing="0" w:after="0" w:afterAutospacing="0"/>
        <w:jc w:val="both"/>
        <w:rPr>
          <w:sz w:val="22"/>
          <w:szCs w:val="22"/>
        </w:rPr>
      </w:pPr>
      <w:r w:rsidRPr="00637256">
        <w:rPr>
          <w:sz w:val="22"/>
          <w:szCs w:val="22"/>
        </w:rPr>
        <w:t>• Opinions;</w:t>
      </w:r>
    </w:p>
    <w:p w14:paraId="01CC5D09" w14:textId="02DAC11E" w:rsidR="00D41A85" w:rsidRPr="00637256" w:rsidRDefault="00D41A85">
      <w:pPr>
        <w:pStyle w:val="NormalWeb"/>
        <w:spacing w:before="0" w:beforeAutospacing="0" w:after="0" w:afterAutospacing="0"/>
        <w:jc w:val="both"/>
        <w:rPr>
          <w:sz w:val="22"/>
          <w:szCs w:val="22"/>
        </w:rPr>
      </w:pPr>
      <w:r w:rsidRPr="00637256">
        <w:rPr>
          <w:sz w:val="22"/>
          <w:szCs w:val="22"/>
        </w:rPr>
        <w:t>• Certificate that the contractor itself, its staff, its subcontractors and/or any person for which the contractor is answerable, are fit to implement their obligations under the contract. In the very limited cases where this certificate is requested/submitted it takes the form of a confirmation that the data subjects are capable of implementing the tasks entrusted under the contract without revealing any specific information on their health status</w:t>
      </w:r>
      <w:r w:rsidR="00E17D81" w:rsidRPr="00637256">
        <w:rPr>
          <w:sz w:val="22"/>
          <w:szCs w:val="22"/>
        </w:rPr>
        <w:t>;</w:t>
      </w:r>
      <w:r w:rsidRPr="00637256">
        <w:rPr>
          <w:sz w:val="22"/>
          <w:szCs w:val="22"/>
        </w:rPr>
        <w:t xml:space="preserve"> and</w:t>
      </w:r>
    </w:p>
    <w:p w14:paraId="1819CE41" w14:textId="77777777" w:rsidR="006B6CEE" w:rsidRPr="00637256" w:rsidRDefault="00D41A85">
      <w:pPr>
        <w:pStyle w:val="NormalWeb"/>
        <w:spacing w:before="0" w:beforeAutospacing="0" w:after="0" w:afterAutospacing="0"/>
        <w:jc w:val="both"/>
        <w:rPr>
          <w:sz w:val="22"/>
          <w:szCs w:val="22"/>
        </w:rPr>
      </w:pPr>
      <w:r w:rsidRPr="00637256">
        <w:rPr>
          <w:sz w:val="22"/>
          <w:szCs w:val="22"/>
        </w:rPr>
        <w:t xml:space="preserve">• </w:t>
      </w:r>
      <w:proofErr w:type="gramStart"/>
      <w:r w:rsidRPr="00637256">
        <w:rPr>
          <w:sz w:val="22"/>
          <w:szCs w:val="22"/>
        </w:rPr>
        <w:t>any</w:t>
      </w:r>
      <w:proofErr w:type="gramEnd"/>
      <w:r w:rsidRPr="00637256">
        <w:rPr>
          <w:sz w:val="22"/>
          <w:szCs w:val="22"/>
        </w:rPr>
        <w:t xml:space="preserve"> other type of data that may by collected by or transmitted to the Commission by any means for the purposes of contract implementation. </w:t>
      </w:r>
    </w:p>
    <w:p w14:paraId="310A5EFF" w14:textId="77777777" w:rsidR="00CF17DB" w:rsidRPr="00637256" w:rsidRDefault="00CF17DB">
      <w:pPr>
        <w:pStyle w:val="NormalWeb"/>
        <w:spacing w:before="0" w:beforeAutospacing="0" w:after="0" w:afterAutospacing="0"/>
        <w:jc w:val="both"/>
        <w:rPr>
          <w:sz w:val="22"/>
          <w:szCs w:val="22"/>
        </w:rPr>
      </w:pPr>
    </w:p>
    <w:p w14:paraId="0C420074" w14:textId="77777777" w:rsidR="009708DC" w:rsidRPr="00637256" w:rsidRDefault="009708DC" w:rsidP="007A7C48">
      <w:pPr>
        <w:pStyle w:val="NormalWeb"/>
        <w:spacing w:before="0" w:beforeAutospacing="0" w:after="0" w:afterAutospacing="0"/>
        <w:jc w:val="both"/>
        <w:rPr>
          <w:rFonts w:eastAsiaTheme="minorHAnsi"/>
          <w:sz w:val="22"/>
          <w:szCs w:val="22"/>
          <w:lang w:eastAsia="en-US"/>
        </w:rPr>
      </w:pPr>
      <w:r w:rsidRPr="00637256">
        <w:rPr>
          <w:rFonts w:eastAsiaTheme="minorHAnsi"/>
          <w:sz w:val="22"/>
          <w:szCs w:val="22"/>
          <w:lang w:eastAsia="en-US"/>
        </w:rPr>
        <w:t>F. Personal data of tenderers, grant applicants, contractors, subcontractors found by the partner entity and/or the Commission to appear on the lists of persons, groups, entities subject to the EU restrictive measures maintained by the Directorate General for Financial Stability, Financial Services and Capital Markets Union (DG FISMA), which may include in particular:</w:t>
      </w:r>
    </w:p>
    <w:p w14:paraId="5B181E02" w14:textId="77777777" w:rsidR="009708DC" w:rsidRPr="00637256" w:rsidRDefault="009708DC" w:rsidP="007A7C48">
      <w:pPr>
        <w:pStyle w:val="NormalWeb"/>
        <w:spacing w:before="0" w:beforeAutospacing="0" w:after="0" w:afterAutospacing="0"/>
        <w:jc w:val="both"/>
        <w:rPr>
          <w:rFonts w:eastAsiaTheme="minorHAnsi"/>
          <w:sz w:val="22"/>
          <w:szCs w:val="22"/>
          <w:lang w:eastAsia="en-US"/>
        </w:rPr>
      </w:pPr>
      <w:r w:rsidRPr="00637256">
        <w:rPr>
          <w:rFonts w:eastAsiaTheme="minorHAnsi"/>
          <w:sz w:val="22"/>
          <w:szCs w:val="22"/>
          <w:lang w:eastAsia="en-US"/>
        </w:rPr>
        <w:t>• Name;</w:t>
      </w:r>
    </w:p>
    <w:p w14:paraId="47441196" w14:textId="77777777" w:rsidR="009708DC" w:rsidRPr="00637256" w:rsidRDefault="009708DC" w:rsidP="007A7C48">
      <w:pPr>
        <w:pStyle w:val="NormalWeb"/>
        <w:spacing w:before="0" w:beforeAutospacing="0" w:after="0" w:afterAutospacing="0"/>
        <w:jc w:val="both"/>
        <w:rPr>
          <w:rFonts w:eastAsiaTheme="minorHAnsi"/>
          <w:sz w:val="22"/>
          <w:szCs w:val="22"/>
          <w:lang w:eastAsia="en-US"/>
        </w:rPr>
      </w:pPr>
      <w:r w:rsidRPr="00637256">
        <w:rPr>
          <w:rFonts w:eastAsiaTheme="minorHAnsi"/>
          <w:sz w:val="22"/>
          <w:szCs w:val="22"/>
          <w:lang w:eastAsia="en-US"/>
        </w:rPr>
        <w:t>• Gender;</w:t>
      </w:r>
    </w:p>
    <w:p w14:paraId="19637FAF" w14:textId="77777777" w:rsidR="009708DC" w:rsidRPr="00637256" w:rsidRDefault="009708DC" w:rsidP="007A7C48">
      <w:pPr>
        <w:pStyle w:val="NormalWeb"/>
        <w:spacing w:before="0" w:beforeAutospacing="0" w:after="0" w:afterAutospacing="0"/>
        <w:jc w:val="both"/>
        <w:rPr>
          <w:rFonts w:eastAsiaTheme="minorHAnsi"/>
          <w:sz w:val="22"/>
          <w:szCs w:val="22"/>
          <w:lang w:eastAsia="en-US"/>
        </w:rPr>
      </w:pPr>
      <w:r w:rsidRPr="00637256">
        <w:rPr>
          <w:rFonts w:eastAsiaTheme="minorHAnsi"/>
          <w:sz w:val="22"/>
          <w:szCs w:val="22"/>
          <w:lang w:eastAsia="en-US"/>
        </w:rPr>
        <w:t>• Date and place of birth;</w:t>
      </w:r>
    </w:p>
    <w:p w14:paraId="19262E66" w14:textId="77777777" w:rsidR="009708DC" w:rsidRPr="00637256" w:rsidRDefault="009708DC" w:rsidP="007A7C48">
      <w:pPr>
        <w:pStyle w:val="NormalWeb"/>
        <w:spacing w:before="0" w:beforeAutospacing="0" w:after="0" w:afterAutospacing="0"/>
        <w:jc w:val="both"/>
        <w:rPr>
          <w:rFonts w:eastAsiaTheme="minorHAnsi"/>
          <w:sz w:val="22"/>
          <w:szCs w:val="22"/>
          <w:lang w:eastAsia="en-US"/>
        </w:rPr>
      </w:pPr>
      <w:r w:rsidRPr="00637256">
        <w:rPr>
          <w:rFonts w:eastAsiaTheme="minorHAnsi"/>
          <w:sz w:val="22"/>
          <w:szCs w:val="22"/>
          <w:lang w:eastAsia="en-US"/>
        </w:rPr>
        <w:t>• Function;</w:t>
      </w:r>
    </w:p>
    <w:p w14:paraId="68CEC004" w14:textId="77777777" w:rsidR="009708DC" w:rsidRPr="00637256" w:rsidRDefault="009708DC" w:rsidP="007A7C48">
      <w:pPr>
        <w:pStyle w:val="NormalWeb"/>
        <w:spacing w:before="0" w:beforeAutospacing="0" w:after="0" w:afterAutospacing="0"/>
        <w:jc w:val="both"/>
        <w:rPr>
          <w:rFonts w:eastAsiaTheme="minorHAnsi"/>
          <w:sz w:val="22"/>
          <w:szCs w:val="22"/>
          <w:lang w:eastAsia="en-US"/>
        </w:rPr>
      </w:pPr>
      <w:r w:rsidRPr="00637256">
        <w:rPr>
          <w:rFonts w:eastAsiaTheme="minorHAnsi"/>
          <w:sz w:val="22"/>
          <w:szCs w:val="22"/>
          <w:lang w:eastAsia="en-US"/>
        </w:rPr>
        <w:t>• Title.</w:t>
      </w:r>
    </w:p>
    <w:p w14:paraId="5EA945CC" w14:textId="6FC8B252" w:rsidR="009708DC" w:rsidRPr="00637256" w:rsidRDefault="009708DC" w:rsidP="007A7C48">
      <w:pPr>
        <w:pStyle w:val="NormalWeb"/>
        <w:spacing w:before="0" w:beforeAutospacing="0" w:after="0" w:afterAutospacing="0"/>
        <w:jc w:val="both"/>
        <w:rPr>
          <w:rFonts w:eastAsiaTheme="minorHAnsi"/>
          <w:sz w:val="22"/>
          <w:szCs w:val="22"/>
          <w:lang w:eastAsia="en-US"/>
        </w:rPr>
      </w:pPr>
      <w:r w:rsidRPr="00637256">
        <w:rPr>
          <w:rFonts w:eastAsiaTheme="minorHAnsi"/>
          <w:sz w:val="22"/>
          <w:szCs w:val="22"/>
          <w:lang w:eastAsia="en-US"/>
        </w:rPr>
        <w:t>The Commission processes above-listed personal data for the purpose of averting any risk of misuse of fund by the beneficiaries of EU funds. The obligation to not extend EU funds to entities subject to restrictive measures is transposed to persons or entities entrusted with indirect management by virtue of Article 62(1</w:t>
      </w:r>
      <w:proofErr w:type="gramStart"/>
      <w:r w:rsidRPr="00637256">
        <w:rPr>
          <w:rFonts w:eastAsiaTheme="minorHAnsi"/>
          <w:sz w:val="22"/>
          <w:szCs w:val="22"/>
          <w:lang w:eastAsia="en-US"/>
        </w:rPr>
        <w:t>)(</w:t>
      </w:r>
      <w:proofErr w:type="gramEnd"/>
      <w:r w:rsidRPr="00637256">
        <w:rPr>
          <w:rFonts w:eastAsiaTheme="minorHAnsi"/>
          <w:sz w:val="22"/>
          <w:szCs w:val="22"/>
          <w:lang w:eastAsia="en-US"/>
        </w:rPr>
        <w:t>c) of the</w:t>
      </w:r>
      <w:r w:rsidR="004A26D0" w:rsidRPr="00637256">
        <w:rPr>
          <w:rFonts w:eastAsiaTheme="minorHAnsi"/>
          <w:sz w:val="22"/>
          <w:szCs w:val="22"/>
          <w:lang w:eastAsia="en-US"/>
        </w:rPr>
        <w:t xml:space="preserve"> EU</w:t>
      </w:r>
      <w:r w:rsidRPr="00637256">
        <w:rPr>
          <w:rFonts w:eastAsiaTheme="minorHAnsi"/>
          <w:sz w:val="22"/>
          <w:szCs w:val="22"/>
          <w:lang w:eastAsia="en-US"/>
        </w:rPr>
        <w:t xml:space="preserve"> Financial Regulation.</w:t>
      </w:r>
    </w:p>
    <w:p w14:paraId="7EE20660" w14:textId="6553C230" w:rsidR="009708DC" w:rsidRPr="00637256" w:rsidRDefault="009708DC" w:rsidP="007A7C48">
      <w:pPr>
        <w:spacing w:after="120"/>
        <w:rPr>
          <w:rFonts w:eastAsiaTheme="minorHAnsi"/>
          <w:sz w:val="22"/>
          <w:szCs w:val="22"/>
          <w:lang w:val="en-IE" w:eastAsia="en-US"/>
        </w:rPr>
      </w:pPr>
      <w:r w:rsidRPr="00637256">
        <w:rPr>
          <w:rFonts w:eastAsiaTheme="minorHAnsi"/>
          <w:sz w:val="22"/>
          <w:szCs w:val="22"/>
          <w:lang w:val="en-IE" w:eastAsia="en-US"/>
        </w:rPr>
        <w:t xml:space="preserve">Processing of personal data in connection with Regulations on restrictive measures (Regulations requiring the freezing of funds and economic resources (asset freezing) of listed natural and legal persons, entities, bodies and groups) by the Commission is covered by </w:t>
      </w:r>
      <w:hyperlink r:id="rId18" w:history="1">
        <w:r w:rsidRPr="00637256">
          <w:rPr>
            <w:rStyle w:val="Hyperlink"/>
            <w:rFonts w:eastAsiaTheme="minorHAnsi"/>
            <w:sz w:val="22"/>
            <w:szCs w:val="22"/>
            <w:lang w:val="en-IE"/>
          </w:rPr>
          <w:t>DPR-EC-00907</w:t>
        </w:r>
      </w:hyperlink>
      <w:r w:rsidRPr="00637256">
        <w:rPr>
          <w:rFonts w:eastAsiaTheme="minorHAnsi"/>
          <w:sz w:val="22"/>
          <w:szCs w:val="22"/>
          <w:lang w:val="en-IE" w:eastAsia="en-US"/>
        </w:rPr>
        <w:t>.</w:t>
      </w:r>
    </w:p>
    <w:p w14:paraId="0EA2666B" w14:textId="493367DF" w:rsidR="003C3E5F" w:rsidRPr="00637256" w:rsidRDefault="003C3E5F" w:rsidP="007A7C48">
      <w:pPr>
        <w:spacing w:after="120"/>
        <w:rPr>
          <w:rFonts w:eastAsiaTheme="minorHAnsi"/>
          <w:sz w:val="22"/>
          <w:szCs w:val="22"/>
          <w:lang w:val="en-GB" w:eastAsia="en-US"/>
        </w:rPr>
      </w:pPr>
    </w:p>
    <w:p w14:paraId="7C65C89E" w14:textId="77777777" w:rsidR="003C3E5F" w:rsidRPr="00637256" w:rsidRDefault="003C3E5F">
      <w:pPr>
        <w:spacing w:after="0"/>
        <w:rPr>
          <w:rFonts w:eastAsiaTheme="minorHAnsi"/>
          <w:sz w:val="22"/>
          <w:szCs w:val="22"/>
          <w:lang w:val="en-GB" w:eastAsia="en-US"/>
        </w:rPr>
      </w:pPr>
      <w:r w:rsidRPr="00637256">
        <w:rPr>
          <w:rFonts w:eastAsiaTheme="minorHAnsi"/>
          <w:sz w:val="22"/>
          <w:szCs w:val="22"/>
          <w:lang w:val="en-GB" w:eastAsia="en-US"/>
        </w:rPr>
        <w:t>G. Personal data of natural persons in various capacities (such as self-registrants, Legal Representatives (LR), Legal Entity Appointed Representatives (LEAR), account administrators or participants in personal capacity) entered via Funding and Tenders Opportunities Portal, notably Participant Register, which may include in particular:</w:t>
      </w:r>
    </w:p>
    <w:p w14:paraId="67CE49E9" w14:textId="77777777" w:rsidR="003C3E5F" w:rsidRPr="00637256" w:rsidRDefault="003C3E5F">
      <w:pPr>
        <w:spacing w:after="0"/>
        <w:rPr>
          <w:rFonts w:eastAsiaTheme="minorHAnsi"/>
          <w:sz w:val="22"/>
          <w:szCs w:val="22"/>
          <w:lang w:val="en-GB" w:eastAsia="en-US"/>
        </w:rPr>
      </w:pPr>
      <w:r w:rsidRPr="00637256">
        <w:rPr>
          <w:rFonts w:eastAsiaTheme="minorHAnsi"/>
          <w:sz w:val="22"/>
          <w:szCs w:val="22"/>
          <w:lang w:val="en-GB" w:eastAsia="en-US"/>
        </w:rPr>
        <w:t>• Identification data: (first name, middle name, last name (including maiden name), gender, title, all personal data contained in different types of identification documents (such as date of birth, place of birth, nationality, personal national identification number, photo/image, signature, etc.), Participant Identification Code (PIC) (when the Participant is a natural person);</w:t>
      </w:r>
    </w:p>
    <w:p w14:paraId="6FF65ADD" w14:textId="77777777" w:rsidR="003C3E5F" w:rsidRPr="00637256" w:rsidRDefault="003C3E5F" w:rsidP="003C3E5F">
      <w:pPr>
        <w:spacing w:after="0"/>
        <w:rPr>
          <w:rFonts w:eastAsiaTheme="minorHAnsi"/>
          <w:sz w:val="22"/>
          <w:szCs w:val="22"/>
          <w:lang w:val="en-GB" w:eastAsia="en-US"/>
        </w:rPr>
      </w:pPr>
      <w:r w:rsidRPr="00637256">
        <w:rPr>
          <w:rFonts w:eastAsiaTheme="minorHAnsi"/>
          <w:sz w:val="22"/>
          <w:szCs w:val="22"/>
          <w:lang w:val="en-GB" w:eastAsia="en-US"/>
        </w:rPr>
        <w:t>• Financial data of natural persons such as bank account related data (such as account number, name and address of the holder, name and address of the bank, available funds), ownership and tax related data (such as revenues and patrimony, number/value of shares or voting right held by natural persons or group of natural persons, social security contributions, VAT and other taxes paid);</w:t>
      </w:r>
    </w:p>
    <w:p w14:paraId="5908CDB7" w14:textId="77777777" w:rsidR="003C3E5F" w:rsidRPr="00637256" w:rsidRDefault="003C3E5F" w:rsidP="003C3E5F">
      <w:pPr>
        <w:spacing w:after="0"/>
        <w:rPr>
          <w:rFonts w:eastAsiaTheme="minorHAnsi"/>
          <w:sz w:val="22"/>
          <w:szCs w:val="22"/>
          <w:lang w:val="en-GB" w:eastAsia="en-US"/>
        </w:rPr>
      </w:pPr>
      <w:r w:rsidRPr="00637256">
        <w:rPr>
          <w:rFonts w:eastAsiaTheme="minorHAnsi"/>
          <w:sz w:val="22"/>
          <w:szCs w:val="22"/>
          <w:lang w:val="en-GB" w:eastAsia="en-US"/>
        </w:rPr>
        <w:t>• Third party personal data: the supporting documents submitted by the Participant may contain personal data of third persons not necessary for purposes of processing.</w:t>
      </w:r>
    </w:p>
    <w:p w14:paraId="41C8C204" w14:textId="77777777" w:rsidR="003C3E5F" w:rsidRPr="00637256" w:rsidRDefault="003C3E5F" w:rsidP="003C3E5F">
      <w:pPr>
        <w:spacing w:after="0"/>
        <w:rPr>
          <w:rFonts w:eastAsiaTheme="minorHAnsi"/>
          <w:sz w:val="22"/>
          <w:szCs w:val="22"/>
          <w:lang w:val="en-GB" w:eastAsia="en-US"/>
        </w:rPr>
      </w:pPr>
    </w:p>
    <w:p w14:paraId="4DC7F9CE" w14:textId="77777777" w:rsidR="003C3E5F" w:rsidRPr="00637256" w:rsidRDefault="003C3E5F" w:rsidP="003C3E5F">
      <w:pPr>
        <w:spacing w:after="0"/>
        <w:rPr>
          <w:rFonts w:eastAsiaTheme="minorHAnsi"/>
          <w:sz w:val="22"/>
          <w:szCs w:val="22"/>
          <w:lang w:val="en-GB" w:eastAsia="en-US"/>
        </w:rPr>
      </w:pPr>
      <w:r w:rsidRPr="00637256">
        <w:rPr>
          <w:rFonts w:eastAsiaTheme="minorHAnsi"/>
          <w:sz w:val="22"/>
          <w:szCs w:val="22"/>
          <w:lang w:val="en-GB" w:eastAsia="en-US"/>
        </w:rPr>
        <w:t>H. Authentication and access data to website of the Commission, including to the Participant Register of the Funding and Tenders Opportunities Portal, which may include in particular:</w:t>
      </w:r>
    </w:p>
    <w:p w14:paraId="0BC73253" w14:textId="77777777" w:rsidR="003C3E5F" w:rsidRPr="00637256" w:rsidRDefault="003C3E5F" w:rsidP="003C3E5F">
      <w:pPr>
        <w:spacing w:after="0"/>
        <w:rPr>
          <w:rFonts w:eastAsiaTheme="minorHAnsi"/>
          <w:sz w:val="22"/>
          <w:szCs w:val="22"/>
          <w:lang w:val="en-GB" w:eastAsia="en-US"/>
        </w:rPr>
      </w:pPr>
      <w:r w:rsidRPr="00637256">
        <w:rPr>
          <w:rFonts w:eastAsiaTheme="minorHAnsi"/>
          <w:sz w:val="22"/>
          <w:szCs w:val="22"/>
          <w:lang w:val="en-GB" w:eastAsia="en-US"/>
        </w:rPr>
        <w:t>• EU Login credentials;</w:t>
      </w:r>
    </w:p>
    <w:p w14:paraId="73E24F80" w14:textId="77777777" w:rsidR="003C3E5F" w:rsidRPr="00637256" w:rsidRDefault="003C3E5F" w:rsidP="003C3E5F">
      <w:pPr>
        <w:spacing w:after="0"/>
        <w:rPr>
          <w:rFonts w:eastAsiaTheme="minorHAnsi"/>
          <w:sz w:val="22"/>
          <w:szCs w:val="22"/>
          <w:lang w:val="en-GB" w:eastAsia="en-US"/>
        </w:rPr>
      </w:pPr>
      <w:r w:rsidRPr="00637256">
        <w:rPr>
          <w:rFonts w:eastAsiaTheme="minorHAnsi"/>
          <w:sz w:val="22"/>
          <w:szCs w:val="22"/>
          <w:lang w:val="en-GB" w:eastAsia="en-US"/>
        </w:rPr>
        <w:t>• IP address;</w:t>
      </w:r>
    </w:p>
    <w:p w14:paraId="1970DDB3" w14:textId="4139E21E" w:rsidR="00CF17DB" w:rsidRPr="00637256" w:rsidRDefault="003C3E5F" w:rsidP="00650856">
      <w:pPr>
        <w:pStyle w:val="NormalWeb"/>
        <w:spacing w:before="0" w:beforeAutospacing="0" w:after="0" w:afterAutospacing="0"/>
        <w:jc w:val="both"/>
        <w:rPr>
          <w:sz w:val="22"/>
          <w:szCs w:val="22"/>
        </w:rPr>
      </w:pPr>
      <w:r w:rsidRPr="00637256">
        <w:rPr>
          <w:rFonts w:eastAsiaTheme="minorHAnsi"/>
          <w:sz w:val="22"/>
          <w:szCs w:val="22"/>
          <w:lang w:eastAsia="en-US"/>
        </w:rPr>
        <w:t>• Security data/log in files.</w:t>
      </w:r>
    </w:p>
    <w:p w14:paraId="19F5D2CD" w14:textId="77777777" w:rsidR="006B6CEE" w:rsidRPr="00637256" w:rsidRDefault="006B6CEE" w:rsidP="006B6CEE">
      <w:pPr>
        <w:spacing w:after="0"/>
        <w:rPr>
          <w:rFonts w:eastAsia="Cambria"/>
          <w:i/>
          <w:color w:val="FF0000"/>
          <w:sz w:val="22"/>
          <w:szCs w:val="22"/>
          <w:lang w:val="en-GB" w:eastAsia="en-US"/>
        </w:rPr>
      </w:pPr>
    </w:p>
    <w:p w14:paraId="06A4D3D9" w14:textId="77777777" w:rsidR="00D41A85" w:rsidRPr="00637256" w:rsidRDefault="006B6CEE" w:rsidP="00D41A85">
      <w:pPr>
        <w:pStyle w:val="NormalWeb"/>
        <w:spacing w:before="0" w:beforeAutospacing="0" w:after="0" w:afterAutospacing="0"/>
        <w:jc w:val="both"/>
        <w:rPr>
          <w:rFonts w:eastAsia="Cambria"/>
          <w:sz w:val="22"/>
          <w:szCs w:val="22"/>
          <w:lang w:eastAsia="en-US"/>
        </w:rPr>
      </w:pPr>
      <w:r w:rsidRPr="00637256">
        <w:rPr>
          <w:rFonts w:eastAsia="Cambria"/>
          <w:sz w:val="22"/>
          <w:szCs w:val="22"/>
          <w:lang w:eastAsia="en-US"/>
        </w:rPr>
        <w:t>We have obtained your personal data from</w:t>
      </w:r>
      <w:r w:rsidR="00D41A85" w:rsidRPr="00637256">
        <w:rPr>
          <w:rFonts w:eastAsia="Cambria"/>
          <w:sz w:val="22"/>
          <w:szCs w:val="22"/>
          <w:lang w:eastAsia="en-US"/>
        </w:rPr>
        <w:t>:</w:t>
      </w:r>
    </w:p>
    <w:p w14:paraId="7C5FE958" w14:textId="2614FA8E" w:rsidR="00CF17DB" w:rsidRPr="00637256" w:rsidRDefault="00CF17DB" w:rsidP="00D41A85">
      <w:pPr>
        <w:pStyle w:val="NormalWeb"/>
        <w:spacing w:before="0" w:beforeAutospacing="0" w:after="0" w:afterAutospacing="0"/>
        <w:jc w:val="both"/>
        <w:rPr>
          <w:rFonts w:eastAsia="Cambria"/>
          <w:sz w:val="22"/>
          <w:szCs w:val="22"/>
          <w:lang w:eastAsia="en-US"/>
        </w:rPr>
      </w:pPr>
      <w:r w:rsidRPr="00637256">
        <w:rPr>
          <w:rFonts w:eastAsia="Cambria"/>
          <w:sz w:val="22"/>
          <w:szCs w:val="22"/>
          <w:lang w:eastAsia="en-US"/>
        </w:rPr>
        <w:t xml:space="preserve">- </w:t>
      </w:r>
      <w:r w:rsidR="003C3E5F" w:rsidRPr="00637256">
        <w:rPr>
          <w:rFonts w:eastAsia="Cambria"/>
          <w:sz w:val="22"/>
          <w:szCs w:val="22"/>
          <w:lang w:eastAsia="en-US"/>
        </w:rPr>
        <w:t>The</w:t>
      </w:r>
      <w:r w:rsidRPr="00637256">
        <w:rPr>
          <w:rFonts w:eastAsia="Cambria"/>
          <w:sz w:val="22"/>
          <w:szCs w:val="22"/>
          <w:lang w:eastAsia="en-US"/>
        </w:rPr>
        <w:t xml:space="preserve"> Funding and Tender Opportunities Portal (</w:t>
      </w:r>
      <w:r w:rsidR="003C3E5F" w:rsidRPr="00637256">
        <w:rPr>
          <w:rFonts w:eastAsia="Cambria"/>
          <w:sz w:val="22"/>
          <w:szCs w:val="22"/>
          <w:lang w:eastAsia="en-US"/>
        </w:rPr>
        <w:t>including from</w:t>
      </w:r>
      <w:r w:rsidRPr="00637256">
        <w:rPr>
          <w:rFonts w:eastAsia="Cambria"/>
          <w:sz w:val="22"/>
          <w:szCs w:val="22"/>
          <w:lang w:eastAsia="en-US"/>
        </w:rPr>
        <w:t xml:space="preserve"> </w:t>
      </w:r>
      <w:hyperlink r:id="rId19" w:history="1">
        <w:r w:rsidR="005C6E66" w:rsidRPr="00EA12DF">
          <w:rPr>
            <w:rStyle w:val="Hyperlink"/>
            <w:sz w:val="22"/>
            <w:szCs w:val="22"/>
          </w:rPr>
          <w:t>Participant register (europa.eu)</w:t>
        </w:r>
      </w:hyperlink>
      <w:r w:rsidRPr="005C6E66">
        <w:rPr>
          <w:rFonts w:eastAsia="Cambria"/>
          <w:sz w:val="22"/>
          <w:szCs w:val="22"/>
          <w:lang w:eastAsia="en-US"/>
        </w:rPr>
        <w:t>)</w:t>
      </w:r>
      <w:r w:rsidR="003C3E5F" w:rsidRPr="005C6E66">
        <w:rPr>
          <w:rFonts w:eastAsia="Cambria"/>
          <w:sz w:val="22"/>
          <w:szCs w:val="22"/>
          <w:lang w:eastAsia="en-US"/>
        </w:rPr>
        <w:t>;</w:t>
      </w:r>
    </w:p>
    <w:p w14:paraId="0687DA0C" w14:textId="6F780B13" w:rsidR="001F3F1D" w:rsidRPr="00637256" w:rsidRDefault="00D41A85" w:rsidP="00D41A85">
      <w:pPr>
        <w:pStyle w:val="NormalWeb"/>
        <w:spacing w:before="0" w:beforeAutospacing="0" w:after="0" w:afterAutospacing="0"/>
        <w:jc w:val="both"/>
        <w:rPr>
          <w:rFonts w:eastAsiaTheme="minorHAnsi"/>
          <w:sz w:val="22"/>
          <w:szCs w:val="22"/>
          <w:lang w:eastAsia="en-US"/>
        </w:rPr>
      </w:pPr>
      <w:r w:rsidRPr="00637256">
        <w:rPr>
          <w:rFonts w:eastAsia="Cambria"/>
          <w:sz w:val="22"/>
          <w:szCs w:val="22"/>
          <w:lang w:eastAsia="en-US"/>
        </w:rPr>
        <w:t>-</w:t>
      </w:r>
      <w:r w:rsidR="006B6CEE" w:rsidRPr="00637256">
        <w:rPr>
          <w:rFonts w:eastAsia="Cambria"/>
          <w:i/>
          <w:sz w:val="22"/>
          <w:szCs w:val="22"/>
          <w:lang w:eastAsia="en-US"/>
        </w:rPr>
        <w:t xml:space="preserve"> </w:t>
      </w:r>
      <w:r w:rsidR="003C3E5F" w:rsidRPr="00637256">
        <w:rPr>
          <w:rFonts w:eastAsiaTheme="minorHAnsi"/>
          <w:sz w:val="22"/>
          <w:szCs w:val="22"/>
          <w:lang w:eastAsia="en-US"/>
        </w:rPr>
        <w:t>Tenderers/grant</w:t>
      </w:r>
      <w:r w:rsidRPr="00637256">
        <w:rPr>
          <w:rFonts w:eastAsiaTheme="minorHAnsi"/>
          <w:sz w:val="22"/>
          <w:szCs w:val="22"/>
          <w:lang w:eastAsia="en-US"/>
        </w:rPr>
        <w:t xml:space="preserve"> applicants/contractors in the context of direct management;</w:t>
      </w:r>
      <w:r w:rsidR="001F3F1D" w:rsidRPr="00637256">
        <w:rPr>
          <w:rFonts w:eastAsiaTheme="minorHAnsi"/>
          <w:sz w:val="22"/>
          <w:szCs w:val="22"/>
          <w:lang w:eastAsia="en-US"/>
        </w:rPr>
        <w:t xml:space="preserve"> </w:t>
      </w:r>
    </w:p>
    <w:p w14:paraId="24C4A241" w14:textId="058B600A" w:rsidR="004D7EFA" w:rsidRPr="00637256" w:rsidRDefault="00D41A85" w:rsidP="007A7C48">
      <w:pPr>
        <w:spacing w:after="0"/>
        <w:rPr>
          <w:rFonts w:eastAsiaTheme="minorHAnsi"/>
          <w:sz w:val="22"/>
          <w:szCs w:val="22"/>
          <w:lang w:val="en-GB" w:eastAsia="en-US"/>
        </w:rPr>
      </w:pPr>
      <w:r w:rsidRPr="00637256">
        <w:rPr>
          <w:rFonts w:eastAsiaTheme="minorHAnsi"/>
          <w:sz w:val="22"/>
          <w:szCs w:val="22"/>
          <w:lang w:val="en-GB" w:eastAsia="en-US"/>
        </w:rPr>
        <w:t xml:space="preserve">- </w:t>
      </w:r>
      <w:r w:rsidR="003C3E5F" w:rsidRPr="00637256">
        <w:rPr>
          <w:rFonts w:eastAsiaTheme="minorHAnsi"/>
          <w:sz w:val="22"/>
          <w:szCs w:val="22"/>
          <w:lang w:val="en-GB" w:eastAsia="en-US"/>
        </w:rPr>
        <w:t>The</w:t>
      </w:r>
      <w:r w:rsidRPr="00637256">
        <w:rPr>
          <w:rFonts w:eastAsiaTheme="minorHAnsi"/>
          <w:sz w:val="22"/>
          <w:szCs w:val="22"/>
          <w:lang w:val="en-GB" w:eastAsia="en-US"/>
        </w:rPr>
        <w:t xml:space="preserve"> partner country when the latter is the contracting authority under indirect management</w:t>
      </w:r>
      <w:r w:rsidR="00767A00" w:rsidRPr="00637256">
        <w:rPr>
          <w:rFonts w:eastAsiaTheme="minorHAnsi"/>
          <w:sz w:val="22"/>
          <w:szCs w:val="22"/>
          <w:lang w:val="en-GB" w:eastAsia="en-US"/>
        </w:rPr>
        <w:t>;</w:t>
      </w:r>
    </w:p>
    <w:p w14:paraId="2F23C72C" w14:textId="535624DF" w:rsidR="00767A00" w:rsidRPr="00637256" w:rsidRDefault="00767A00">
      <w:pPr>
        <w:spacing w:after="120"/>
        <w:rPr>
          <w:rFonts w:eastAsiaTheme="minorHAnsi"/>
          <w:sz w:val="22"/>
          <w:szCs w:val="22"/>
          <w:lang w:val="en-GB" w:eastAsia="en-US"/>
        </w:rPr>
      </w:pPr>
      <w:r w:rsidRPr="00637256">
        <w:rPr>
          <w:rFonts w:eastAsiaTheme="minorHAnsi"/>
          <w:sz w:val="22"/>
          <w:szCs w:val="22"/>
          <w:lang w:val="en-IE" w:eastAsia="en-US"/>
        </w:rPr>
        <w:t>- The information obtained in the framework of the verifications and checks carried out</w:t>
      </w:r>
      <w:r w:rsidR="00F86B09" w:rsidRPr="00637256">
        <w:rPr>
          <w:rFonts w:eastAsiaTheme="minorHAnsi"/>
          <w:sz w:val="22"/>
          <w:szCs w:val="22"/>
          <w:lang w:val="en-IE" w:eastAsia="en-US"/>
        </w:rPr>
        <w:t xml:space="preserve"> for the purposes of safeguarding the financial interests of the Union </w:t>
      </w:r>
      <w:r w:rsidRPr="00637256">
        <w:rPr>
          <w:rFonts w:eastAsiaTheme="minorHAnsi"/>
          <w:sz w:val="22"/>
          <w:szCs w:val="22"/>
          <w:lang w:val="en-IE" w:eastAsia="en-US"/>
        </w:rPr>
        <w:t xml:space="preserve">by the Commission, OLAF and the European Court of Auditors pursuant to </w:t>
      </w:r>
      <w:r w:rsidRPr="00637256">
        <w:rPr>
          <w:rFonts w:eastAsiaTheme="minorHAnsi"/>
          <w:i/>
          <w:sz w:val="22"/>
          <w:szCs w:val="22"/>
          <w:lang w:val="en-IE" w:eastAsia="en-US"/>
        </w:rPr>
        <w:t>inter alia</w:t>
      </w:r>
      <w:r w:rsidRPr="00637256">
        <w:rPr>
          <w:rFonts w:eastAsiaTheme="minorHAnsi"/>
          <w:sz w:val="22"/>
          <w:szCs w:val="22"/>
          <w:lang w:val="en-IE" w:eastAsia="en-US"/>
        </w:rPr>
        <w:t xml:space="preserve"> Article 287 of the Treaty on the Functioning of the European Union, and Articles 129 of the </w:t>
      </w:r>
      <w:r w:rsidR="004A26D0" w:rsidRPr="00637256">
        <w:rPr>
          <w:rFonts w:eastAsiaTheme="minorHAnsi"/>
          <w:sz w:val="22"/>
          <w:szCs w:val="22"/>
          <w:lang w:val="en-IE" w:eastAsia="en-US"/>
        </w:rPr>
        <w:t xml:space="preserve">EU </w:t>
      </w:r>
      <w:r w:rsidRPr="00637256">
        <w:rPr>
          <w:rFonts w:eastAsiaTheme="minorHAnsi"/>
          <w:sz w:val="22"/>
          <w:szCs w:val="22"/>
          <w:lang w:val="en-IE" w:eastAsia="en-US"/>
        </w:rPr>
        <w:t>Financial Regulation</w:t>
      </w:r>
      <w:r w:rsidR="003A3A25" w:rsidRPr="00637256">
        <w:rPr>
          <w:rFonts w:eastAsiaTheme="minorHAnsi"/>
          <w:sz w:val="22"/>
          <w:szCs w:val="22"/>
          <w:lang w:val="en-IE" w:eastAsia="en-US"/>
        </w:rPr>
        <w:t xml:space="preserve"> as well as by the </w:t>
      </w:r>
      <w:r w:rsidR="003A3A25" w:rsidRPr="00637256">
        <w:rPr>
          <w:sz w:val="22"/>
          <w:szCs w:val="22"/>
          <w:shd w:val="clear" w:color="auto" w:fill="FFFFFF"/>
          <w:lang w:val="en-IE"/>
        </w:rPr>
        <w:t xml:space="preserve">European Public Prosecutor’s Office pursuant to </w:t>
      </w:r>
      <w:r w:rsidR="003A3A25" w:rsidRPr="00637256">
        <w:rPr>
          <w:sz w:val="22"/>
          <w:szCs w:val="22"/>
          <w:lang w:val="en-IE"/>
        </w:rPr>
        <w:t>Article 103(1) of Council Regulation (EU) 2017/1939</w:t>
      </w:r>
      <w:r w:rsidRPr="00637256">
        <w:rPr>
          <w:rFonts w:eastAsiaTheme="minorHAnsi"/>
          <w:sz w:val="22"/>
          <w:szCs w:val="22"/>
          <w:lang w:val="en-IE" w:eastAsia="en-US"/>
        </w:rPr>
        <w:t>.</w:t>
      </w:r>
    </w:p>
    <w:p w14:paraId="6B51FD50" w14:textId="221870D9" w:rsidR="002206EC" w:rsidRPr="00AE09CA" w:rsidRDefault="00AE09CA" w:rsidP="007A7C48">
      <w:pPr>
        <w:pStyle w:val="NormalWeb"/>
        <w:spacing w:before="0" w:beforeAutospacing="0" w:after="0" w:afterAutospacing="0"/>
        <w:jc w:val="both"/>
        <w:rPr>
          <w:sz w:val="22"/>
          <w:szCs w:val="22"/>
          <w:highlight w:val="lightGray"/>
        </w:rPr>
      </w:pPr>
      <w:r w:rsidRPr="00AE09CA">
        <w:rPr>
          <w:sz w:val="22"/>
          <w:szCs w:val="22"/>
          <w:highlight w:val="yellow"/>
        </w:rPr>
        <w:t xml:space="preserve">For DG </w:t>
      </w:r>
      <w:r w:rsidRPr="0043551C">
        <w:rPr>
          <w:sz w:val="22"/>
          <w:szCs w:val="22"/>
          <w:highlight w:val="yellow"/>
        </w:rPr>
        <w:t>NEAR</w:t>
      </w:r>
      <w:r w:rsidR="0043551C" w:rsidRPr="00F8704C">
        <w:rPr>
          <w:sz w:val="22"/>
          <w:szCs w:val="22"/>
          <w:highlight w:val="yellow"/>
        </w:rPr>
        <w:t xml:space="preserve"> please add</w:t>
      </w:r>
      <w:r w:rsidRPr="00637256">
        <w:rPr>
          <w:rFonts w:eastAsiaTheme="minorHAnsi"/>
          <w:sz w:val="22"/>
          <w:szCs w:val="22"/>
          <w:lang w:eastAsia="en-US"/>
        </w:rPr>
        <w:t xml:space="preserve"> </w:t>
      </w:r>
    </w:p>
    <w:p w14:paraId="26914B51" w14:textId="18D4D70C" w:rsidR="00702EE4" w:rsidRPr="00AE09CA" w:rsidRDefault="0043551C" w:rsidP="007A7C48">
      <w:pPr>
        <w:pStyle w:val="NormalWeb"/>
        <w:spacing w:before="0" w:beforeAutospacing="0" w:after="0" w:afterAutospacing="0"/>
        <w:jc w:val="both"/>
        <w:rPr>
          <w:sz w:val="22"/>
          <w:szCs w:val="22"/>
          <w:highlight w:val="lightGray"/>
        </w:rPr>
      </w:pPr>
      <w:r w:rsidRPr="00F8704C">
        <w:rPr>
          <w:sz w:val="22"/>
          <w:szCs w:val="22"/>
        </w:rPr>
        <w:t>[</w:t>
      </w:r>
      <w:r w:rsidR="002206EC" w:rsidRPr="00AE09CA">
        <w:rPr>
          <w:sz w:val="22"/>
          <w:szCs w:val="22"/>
          <w:highlight w:val="lightGray"/>
        </w:rPr>
        <w:t xml:space="preserve">- </w:t>
      </w:r>
      <w:r w:rsidR="00252EC5" w:rsidRPr="00AE09CA">
        <w:rPr>
          <w:sz w:val="22"/>
          <w:szCs w:val="22"/>
          <w:highlight w:val="lightGray"/>
        </w:rPr>
        <w:t>T</w:t>
      </w:r>
      <w:r w:rsidR="002206EC" w:rsidRPr="00AE09CA">
        <w:rPr>
          <w:sz w:val="22"/>
          <w:szCs w:val="22"/>
          <w:highlight w:val="lightGray"/>
        </w:rPr>
        <w:t xml:space="preserve">he </w:t>
      </w:r>
      <w:r w:rsidR="00702EE4" w:rsidRPr="00AE09CA">
        <w:rPr>
          <w:sz w:val="22"/>
          <w:szCs w:val="22"/>
          <w:highlight w:val="lightGray"/>
        </w:rPr>
        <w:t>structures and authorities needed for the management, control, supervision, monitoring, evaluation, reporting and internal audit for IPA;</w:t>
      </w:r>
    </w:p>
    <w:p w14:paraId="2F0322A4" w14:textId="4C9B8D6C" w:rsidR="00702EE4" w:rsidRPr="00637256" w:rsidRDefault="00702EE4">
      <w:pPr>
        <w:spacing w:after="0"/>
        <w:rPr>
          <w:rFonts w:eastAsiaTheme="minorHAnsi"/>
          <w:sz w:val="22"/>
          <w:szCs w:val="22"/>
          <w:lang w:val="en-GB" w:eastAsia="en-US"/>
        </w:rPr>
      </w:pPr>
      <w:r w:rsidRPr="00AE09CA">
        <w:rPr>
          <w:rFonts w:eastAsiaTheme="minorHAnsi"/>
          <w:sz w:val="22"/>
          <w:szCs w:val="22"/>
          <w:highlight w:val="lightGray"/>
          <w:lang w:val="en-GB" w:eastAsia="en-US"/>
        </w:rPr>
        <w:t xml:space="preserve">- </w:t>
      </w:r>
      <w:r w:rsidR="00252EC5" w:rsidRPr="00AE09CA">
        <w:rPr>
          <w:rFonts w:eastAsiaTheme="minorHAnsi"/>
          <w:sz w:val="22"/>
          <w:szCs w:val="22"/>
          <w:highlight w:val="lightGray"/>
          <w:lang w:val="en-GB" w:eastAsia="en-US"/>
        </w:rPr>
        <w:t>T</w:t>
      </w:r>
      <w:r w:rsidRPr="00AE09CA">
        <w:rPr>
          <w:rFonts w:eastAsiaTheme="minorHAnsi"/>
          <w:sz w:val="22"/>
          <w:szCs w:val="22"/>
          <w:highlight w:val="lightGray"/>
          <w:lang w:val="en-GB" w:eastAsia="en-US"/>
        </w:rPr>
        <w:t>he managing authorities and their bodies when the management of the action is delegated to Member States</w:t>
      </w:r>
      <w:r w:rsidR="009D6DFC" w:rsidRPr="00637256">
        <w:rPr>
          <w:sz w:val="22"/>
          <w:szCs w:val="22"/>
          <w:lang w:val="en-GB"/>
        </w:rPr>
        <w:t>.</w:t>
      </w:r>
      <w:r w:rsidR="00AE09CA">
        <w:rPr>
          <w:sz w:val="22"/>
          <w:szCs w:val="22"/>
          <w:lang w:val="en-GB"/>
        </w:rPr>
        <w:t>]</w:t>
      </w:r>
    </w:p>
    <w:p w14:paraId="7ED82603" w14:textId="77777777" w:rsidR="006B6CEE" w:rsidRPr="00637256" w:rsidRDefault="006B6CEE" w:rsidP="006B6CEE">
      <w:pPr>
        <w:spacing w:after="0"/>
        <w:rPr>
          <w:rFonts w:eastAsia="Calibri"/>
          <w:i/>
          <w:color w:val="FF0000"/>
          <w:sz w:val="22"/>
          <w:szCs w:val="22"/>
          <w:lang w:val="en-GB" w:eastAsia="en-US"/>
        </w:rPr>
      </w:pPr>
    </w:p>
    <w:p w14:paraId="45374DF4" w14:textId="77777777" w:rsidR="006B6CEE" w:rsidRPr="00637256" w:rsidRDefault="006B6CEE" w:rsidP="006B6CEE">
      <w:pPr>
        <w:numPr>
          <w:ilvl w:val="0"/>
          <w:numId w:val="21"/>
        </w:numPr>
        <w:spacing w:after="200"/>
        <w:rPr>
          <w:rFonts w:eastAsia="Calibri"/>
          <w:b/>
          <w:sz w:val="22"/>
          <w:szCs w:val="22"/>
          <w:u w:val="single"/>
          <w:lang w:val="en-GB" w:eastAsia="en-US"/>
        </w:rPr>
      </w:pPr>
      <w:r w:rsidRPr="00637256">
        <w:rPr>
          <w:rFonts w:eastAsia="Calibri"/>
          <w:b/>
          <w:sz w:val="22"/>
          <w:szCs w:val="22"/>
          <w:u w:val="single"/>
          <w:lang w:val="en-GB" w:eastAsia="en-US"/>
        </w:rPr>
        <w:t>How long do we keep your personal data?</w:t>
      </w:r>
    </w:p>
    <w:p w14:paraId="75B6760F" w14:textId="7DB4AB0A" w:rsidR="00BC29B6" w:rsidRPr="00637256" w:rsidRDefault="0043551C" w:rsidP="006B6CEE">
      <w:pPr>
        <w:rPr>
          <w:rFonts w:eastAsia="Calibri"/>
          <w:sz w:val="22"/>
          <w:szCs w:val="22"/>
          <w:lang w:val="en-GB" w:eastAsia="en-US"/>
        </w:rPr>
      </w:pPr>
      <w:r w:rsidRPr="006C4BD2">
        <w:rPr>
          <w:sz w:val="22"/>
          <w:szCs w:val="22"/>
          <w:highlight w:val="yellow"/>
          <w:lang w:val="en-GB"/>
        </w:rPr>
        <w:t xml:space="preserve">For DG </w:t>
      </w:r>
      <w:proofErr w:type="gramStart"/>
      <w:r w:rsidR="00AE2FD5">
        <w:rPr>
          <w:sz w:val="22"/>
          <w:szCs w:val="22"/>
          <w:highlight w:val="yellow"/>
          <w:lang w:val="en-GB"/>
        </w:rPr>
        <w:t>INTPA</w:t>
      </w:r>
      <w:r w:rsidRPr="006C4BD2">
        <w:rPr>
          <w:sz w:val="22"/>
          <w:szCs w:val="22"/>
          <w:lang w:val="en-GB"/>
        </w:rPr>
        <w:t>[</w:t>
      </w:r>
      <w:proofErr w:type="gramEnd"/>
      <w:r w:rsidRPr="006C4BD2">
        <w:rPr>
          <w:sz w:val="22"/>
          <w:szCs w:val="22"/>
          <w:highlight w:val="lightGray"/>
          <w:lang w:val="en-GB"/>
        </w:rPr>
        <w:t>Directorate-General for International</w:t>
      </w:r>
      <w:r w:rsidR="00AE2FD5">
        <w:rPr>
          <w:sz w:val="22"/>
          <w:szCs w:val="22"/>
          <w:highlight w:val="lightGray"/>
          <w:lang w:val="en-GB"/>
        </w:rPr>
        <w:t xml:space="preserve"> Partnerships</w:t>
      </w:r>
      <w:r w:rsidRPr="006C4BD2">
        <w:rPr>
          <w:sz w:val="22"/>
          <w:szCs w:val="22"/>
          <w:lang w:val="en-GB"/>
        </w:rPr>
        <w:t>]</w:t>
      </w:r>
      <w:r w:rsidRPr="00F376B4">
        <w:rPr>
          <w:sz w:val="22"/>
          <w:szCs w:val="22"/>
          <w:highlight w:val="yellow"/>
          <w:lang w:val="en-GB"/>
        </w:rPr>
        <w:t>For DG NEAR</w:t>
      </w:r>
      <w:r>
        <w:rPr>
          <w:sz w:val="22"/>
          <w:szCs w:val="22"/>
          <w:lang w:val="en-GB"/>
        </w:rPr>
        <w:t>[</w:t>
      </w:r>
      <w:r w:rsidRPr="00F376B4">
        <w:rPr>
          <w:sz w:val="22"/>
          <w:szCs w:val="22"/>
          <w:highlight w:val="lightGray"/>
          <w:lang w:val="en-GB"/>
        </w:rPr>
        <w:t>Directorate-General for Neighbourhood and Enlargement Negotiations]</w:t>
      </w:r>
      <w:r>
        <w:rPr>
          <w:sz w:val="22"/>
          <w:szCs w:val="22"/>
          <w:lang w:val="en-GB"/>
        </w:rPr>
        <w:t xml:space="preserve"> </w:t>
      </w:r>
      <w:r w:rsidRPr="00DF4FF7">
        <w:rPr>
          <w:sz w:val="22"/>
          <w:szCs w:val="22"/>
          <w:highlight w:val="yellow"/>
          <w:lang w:val="en-GB"/>
        </w:rPr>
        <w:t>For FPI</w:t>
      </w:r>
      <w:r>
        <w:rPr>
          <w:sz w:val="22"/>
          <w:szCs w:val="22"/>
          <w:lang w:val="en-GB"/>
        </w:rPr>
        <w:t xml:space="preserve"> [</w:t>
      </w:r>
      <w:r w:rsidRPr="00DF4FF7">
        <w:rPr>
          <w:sz w:val="22"/>
          <w:szCs w:val="22"/>
          <w:highlight w:val="lightGray"/>
          <w:lang w:val="en-GB"/>
        </w:rPr>
        <w:t>FPI</w:t>
      </w:r>
      <w:r>
        <w:rPr>
          <w:sz w:val="22"/>
          <w:szCs w:val="22"/>
          <w:lang w:val="en-GB"/>
        </w:rPr>
        <w:t>]</w:t>
      </w:r>
      <w:r w:rsidR="00BC29B6" w:rsidRPr="00637256">
        <w:rPr>
          <w:sz w:val="22"/>
          <w:szCs w:val="22"/>
          <w:lang w:val="en-GB"/>
        </w:rPr>
        <w:t xml:space="preserve"> </w:t>
      </w:r>
      <w:r w:rsidR="006B6CEE" w:rsidRPr="00637256">
        <w:rPr>
          <w:rFonts w:eastAsia="Calibri"/>
          <w:sz w:val="22"/>
          <w:szCs w:val="22"/>
          <w:lang w:val="en-GB" w:eastAsia="en-US"/>
        </w:rPr>
        <w:t>only keeps your personal data for the time necessary to fulfil the purpose of collection or further processing</w:t>
      </w:r>
      <w:r w:rsidR="00BC29B6" w:rsidRPr="00637256">
        <w:rPr>
          <w:rFonts w:eastAsia="Calibri"/>
          <w:sz w:val="22"/>
          <w:szCs w:val="22"/>
          <w:lang w:val="en-GB" w:eastAsia="en-US"/>
        </w:rPr>
        <w:t>.</w:t>
      </w:r>
      <w:r w:rsidR="003666E4" w:rsidRPr="00637256">
        <w:rPr>
          <w:rFonts w:eastAsia="Calibri"/>
          <w:sz w:val="22"/>
          <w:szCs w:val="22"/>
          <w:lang w:val="en-GB" w:eastAsia="en-US"/>
        </w:rPr>
        <w:t xml:space="preserve"> The retention periods are aligned with the Common Commission-Level Retention List (CRL)</w:t>
      </w:r>
      <w:r w:rsidR="00650856" w:rsidRPr="00637256">
        <w:rPr>
          <w:rStyle w:val="FootnoteReference"/>
          <w:rFonts w:eastAsia="Calibri"/>
          <w:sz w:val="22"/>
          <w:szCs w:val="22"/>
          <w:lang w:val="en-GB" w:eastAsia="en-US"/>
        </w:rPr>
        <w:footnoteReference w:id="6"/>
      </w:r>
      <w:r w:rsidR="001F08DA" w:rsidRPr="00637256">
        <w:rPr>
          <w:rFonts w:eastAsia="Calibri"/>
          <w:sz w:val="22"/>
          <w:szCs w:val="22"/>
          <w:lang w:val="en-GB" w:eastAsia="en-US"/>
        </w:rPr>
        <w:t xml:space="preserve"> </w:t>
      </w:r>
      <w:r w:rsidR="003666E4" w:rsidRPr="00637256">
        <w:rPr>
          <w:rFonts w:eastAsia="Calibri"/>
          <w:sz w:val="22"/>
          <w:szCs w:val="22"/>
          <w:lang w:val="en-GB" w:eastAsia="en-US"/>
        </w:rPr>
        <w:t>of the European Commission.</w:t>
      </w:r>
    </w:p>
    <w:p w14:paraId="73DC1748" w14:textId="77777777" w:rsidR="00BC29B6" w:rsidRPr="00637256" w:rsidRDefault="00BC29B6" w:rsidP="00BC29B6">
      <w:pPr>
        <w:rPr>
          <w:rFonts w:eastAsia="Calibri"/>
          <w:sz w:val="22"/>
          <w:szCs w:val="22"/>
          <w:lang w:val="en-GB" w:eastAsia="en-US"/>
        </w:rPr>
      </w:pPr>
      <w:r w:rsidRPr="00637256">
        <w:rPr>
          <w:rFonts w:eastAsia="Calibri"/>
          <w:sz w:val="22"/>
          <w:szCs w:val="22"/>
          <w:lang w:val="en-GB" w:eastAsia="en-US"/>
        </w:rPr>
        <w:t xml:space="preserve">Files relating to tender and/or grant procedures including personal data are to be retained in the service in charge of the procedure until it is finalised, and in the archives for a period of 10 years following the signature of the contract </w:t>
      </w:r>
      <w:r w:rsidR="00896480" w:rsidRPr="00637256">
        <w:rPr>
          <w:rFonts w:eastAsia="Calibri"/>
          <w:sz w:val="22"/>
          <w:szCs w:val="22"/>
          <w:lang w:val="en-GB" w:eastAsia="en-US"/>
        </w:rPr>
        <w:t>(point 7.1.2 and 7.1.4 of CRL)</w:t>
      </w:r>
      <w:r w:rsidRPr="00637256">
        <w:rPr>
          <w:rFonts w:eastAsia="Calibri"/>
          <w:sz w:val="22"/>
          <w:szCs w:val="22"/>
          <w:lang w:val="en-GB" w:eastAsia="en-US"/>
        </w:rPr>
        <w:t xml:space="preserve">. </w:t>
      </w:r>
    </w:p>
    <w:p w14:paraId="5D760C7B" w14:textId="77777777" w:rsidR="00BC29B6" w:rsidRPr="00637256" w:rsidRDefault="00BC29B6" w:rsidP="00BC29B6">
      <w:pPr>
        <w:rPr>
          <w:rFonts w:eastAsia="Calibri"/>
          <w:sz w:val="22"/>
          <w:szCs w:val="22"/>
          <w:lang w:val="en-GB" w:eastAsia="en-US"/>
        </w:rPr>
      </w:pPr>
      <w:r w:rsidRPr="00637256">
        <w:rPr>
          <w:rFonts w:eastAsia="Calibri"/>
          <w:sz w:val="22"/>
          <w:szCs w:val="22"/>
          <w:lang w:val="en-GB" w:eastAsia="en-US"/>
        </w:rPr>
        <w:t>However, tenders from unsuccessful tenderers have to be kept only for 5 years following the signature of the contract into question</w:t>
      </w:r>
      <w:r w:rsidR="003666E4" w:rsidRPr="00637256">
        <w:rPr>
          <w:rFonts w:eastAsia="Calibri"/>
          <w:sz w:val="22"/>
          <w:szCs w:val="22"/>
          <w:lang w:val="en-GB" w:eastAsia="en-US"/>
        </w:rPr>
        <w:t xml:space="preserve"> (Annex I, T2 of CRL)</w:t>
      </w:r>
      <w:r w:rsidRPr="00637256">
        <w:rPr>
          <w:rFonts w:eastAsia="Calibri"/>
          <w:sz w:val="22"/>
          <w:szCs w:val="22"/>
          <w:lang w:val="en-GB" w:eastAsia="en-US"/>
        </w:rPr>
        <w:t>. Applications from unsuccessful applicants have to be kept only f</w:t>
      </w:r>
      <w:r w:rsidR="00650856" w:rsidRPr="00637256">
        <w:rPr>
          <w:rFonts w:eastAsia="Calibri"/>
          <w:sz w:val="22"/>
          <w:szCs w:val="22"/>
          <w:lang w:val="en-GB" w:eastAsia="en-US"/>
        </w:rPr>
        <w:t xml:space="preserve">or </w:t>
      </w:r>
      <w:r w:rsidR="006D3091" w:rsidRPr="00637256">
        <w:rPr>
          <w:rFonts w:eastAsia="Calibri"/>
          <w:sz w:val="22"/>
          <w:szCs w:val="22"/>
          <w:lang w:val="en-GB" w:eastAsia="en-US"/>
        </w:rPr>
        <w:t xml:space="preserve">5 </w:t>
      </w:r>
      <w:r w:rsidRPr="00637256">
        <w:rPr>
          <w:rFonts w:eastAsia="Calibri"/>
          <w:sz w:val="22"/>
          <w:szCs w:val="22"/>
          <w:lang w:val="en-GB" w:eastAsia="en-US"/>
        </w:rPr>
        <w:t>years following the finalisation of the call</w:t>
      </w:r>
      <w:r w:rsidR="003666E4" w:rsidRPr="00637256">
        <w:rPr>
          <w:rFonts w:eastAsia="Calibri"/>
          <w:sz w:val="22"/>
          <w:szCs w:val="22"/>
          <w:lang w:val="en-GB" w:eastAsia="en-US"/>
        </w:rPr>
        <w:t xml:space="preserve"> (Annex I, T1 of CRL)</w:t>
      </w:r>
      <w:r w:rsidRPr="00637256">
        <w:rPr>
          <w:rFonts w:eastAsia="Calibri"/>
          <w:sz w:val="22"/>
          <w:szCs w:val="22"/>
          <w:lang w:val="en-GB" w:eastAsia="en-US"/>
        </w:rPr>
        <w:t>.</w:t>
      </w:r>
    </w:p>
    <w:p w14:paraId="14C9B71C" w14:textId="77777777" w:rsidR="00F66870" w:rsidRPr="00637256" w:rsidRDefault="00F66870" w:rsidP="00BC29B6">
      <w:pPr>
        <w:rPr>
          <w:rFonts w:eastAsia="Calibri"/>
          <w:sz w:val="22"/>
          <w:szCs w:val="22"/>
          <w:lang w:val="en-GB" w:eastAsia="en-US"/>
        </w:rPr>
      </w:pPr>
      <w:r w:rsidRPr="00637256">
        <w:rPr>
          <w:rFonts w:eastAsia="Calibri"/>
          <w:sz w:val="22"/>
          <w:szCs w:val="22"/>
          <w:lang w:val="en-GB" w:eastAsia="en-US"/>
        </w:rPr>
        <w:t xml:space="preserve">Files relating to contracts including personal data are to be retained in the service in charge of the procedure until the closure of the contract and in the archives for a period of 10 years following the </w:t>
      </w:r>
      <w:r w:rsidR="00630538" w:rsidRPr="00637256">
        <w:rPr>
          <w:rFonts w:eastAsia="Calibri"/>
          <w:sz w:val="22"/>
          <w:szCs w:val="22"/>
          <w:lang w:val="en-GB" w:eastAsia="en-US"/>
        </w:rPr>
        <w:t>closure</w:t>
      </w:r>
      <w:r w:rsidRPr="00637256">
        <w:rPr>
          <w:rFonts w:eastAsia="Calibri"/>
          <w:sz w:val="22"/>
          <w:szCs w:val="22"/>
          <w:lang w:val="en-GB" w:eastAsia="en-US"/>
        </w:rPr>
        <w:t xml:space="preserve"> of the contract. (</w:t>
      </w:r>
      <w:proofErr w:type="gramStart"/>
      <w:r w:rsidRPr="00637256">
        <w:rPr>
          <w:rFonts w:eastAsia="Calibri"/>
          <w:sz w:val="22"/>
          <w:szCs w:val="22"/>
          <w:lang w:val="en-GB" w:eastAsia="en-US"/>
        </w:rPr>
        <w:t>point</w:t>
      </w:r>
      <w:proofErr w:type="gramEnd"/>
      <w:r w:rsidRPr="00637256">
        <w:rPr>
          <w:rFonts w:eastAsia="Calibri"/>
          <w:sz w:val="22"/>
          <w:szCs w:val="22"/>
          <w:lang w:val="en-GB" w:eastAsia="en-US"/>
        </w:rPr>
        <w:t xml:space="preserve"> 7.1.3 and 7.1.5 of CRL</w:t>
      </w:r>
      <w:r w:rsidR="000F20C4" w:rsidRPr="00637256">
        <w:rPr>
          <w:rFonts w:eastAsia="Calibri"/>
          <w:sz w:val="22"/>
          <w:szCs w:val="22"/>
          <w:lang w:val="en-GB" w:eastAsia="en-US"/>
        </w:rPr>
        <w:t>)</w:t>
      </w:r>
      <w:r w:rsidRPr="00637256">
        <w:rPr>
          <w:rFonts w:eastAsia="Calibri"/>
          <w:sz w:val="22"/>
          <w:szCs w:val="22"/>
          <w:lang w:val="en-GB" w:eastAsia="en-US"/>
        </w:rPr>
        <w:t>.</w:t>
      </w:r>
    </w:p>
    <w:p w14:paraId="19825A48" w14:textId="77777777" w:rsidR="00BC29B6" w:rsidRPr="00637256" w:rsidRDefault="00BC29B6" w:rsidP="00BC29B6">
      <w:pPr>
        <w:rPr>
          <w:rFonts w:eastAsia="Calibri"/>
          <w:sz w:val="22"/>
          <w:szCs w:val="22"/>
          <w:lang w:val="en-GB" w:eastAsia="en-US"/>
        </w:rPr>
      </w:pPr>
      <w:r w:rsidRPr="00637256">
        <w:rPr>
          <w:rFonts w:eastAsia="Calibri"/>
          <w:sz w:val="22"/>
          <w:szCs w:val="22"/>
          <w:lang w:val="en-GB" w:eastAsia="en-US"/>
        </w:rPr>
        <w:t>These files could be retained until the end of a possible audit if one started before the end of the above periods.</w:t>
      </w:r>
    </w:p>
    <w:p w14:paraId="38CE3CF8" w14:textId="77777777" w:rsidR="00BC29B6" w:rsidRPr="00637256" w:rsidRDefault="00BC29B6" w:rsidP="00BC29B6">
      <w:pPr>
        <w:rPr>
          <w:rFonts w:eastAsia="Calibri"/>
          <w:sz w:val="22"/>
          <w:szCs w:val="22"/>
          <w:lang w:val="en-GB" w:eastAsia="en-US"/>
        </w:rPr>
      </w:pPr>
      <w:r w:rsidRPr="00637256">
        <w:rPr>
          <w:rFonts w:eastAsia="Calibri"/>
          <w:sz w:val="22"/>
          <w:szCs w:val="22"/>
          <w:lang w:val="en-GB" w:eastAsia="en-US"/>
        </w:rPr>
        <w:t>After the periods mentioned above have elapsed, the files containing personal data are sampled to be sent to the historical archives of the Commission for further conservation. The non-sampled files are destroyed.</w:t>
      </w:r>
    </w:p>
    <w:p w14:paraId="5B05D481" w14:textId="4A0439F2" w:rsidR="000951A8" w:rsidRPr="00637256" w:rsidRDefault="000951A8" w:rsidP="000951A8">
      <w:pPr>
        <w:rPr>
          <w:rFonts w:eastAsia="Calibri"/>
          <w:sz w:val="22"/>
          <w:szCs w:val="22"/>
          <w:lang w:val="en-GB" w:eastAsia="en-US"/>
        </w:rPr>
      </w:pPr>
      <w:r w:rsidRPr="00637256">
        <w:rPr>
          <w:rFonts w:eastAsia="Calibri"/>
          <w:sz w:val="22"/>
          <w:szCs w:val="22"/>
          <w:lang w:val="en-GB" w:eastAsia="en-US"/>
        </w:rPr>
        <w:t xml:space="preserve">Files on indirect management between the Commission and the entity implementing funds under Article 62 of the </w:t>
      </w:r>
      <w:r w:rsidR="004A26D0" w:rsidRPr="00637256">
        <w:rPr>
          <w:rFonts w:eastAsia="Calibri"/>
          <w:sz w:val="22"/>
          <w:szCs w:val="22"/>
          <w:lang w:val="en-GB" w:eastAsia="en-US"/>
        </w:rPr>
        <w:t xml:space="preserve">EU </w:t>
      </w:r>
      <w:r w:rsidRPr="00637256">
        <w:rPr>
          <w:rFonts w:eastAsia="Calibri"/>
          <w:sz w:val="22"/>
          <w:szCs w:val="22"/>
          <w:lang w:val="en-GB" w:eastAsia="en-US"/>
        </w:rPr>
        <w:t xml:space="preserve">Financial Regulation (e.g. the partner country), which may cover both technical and financial documentation of the programme or project, as well as any evaluations or audits thereof are kept for </w:t>
      </w:r>
      <w:r w:rsidRPr="00637256">
        <w:rPr>
          <w:sz w:val="22"/>
          <w:szCs w:val="22"/>
          <w:lang w:val="en-GB"/>
        </w:rPr>
        <w:t xml:space="preserve">10 years </w:t>
      </w:r>
      <w:r w:rsidR="00702EE4" w:rsidRPr="00637256">
        <w:rPr>
          <w:sz w:val="22"/>
          <w:szCs w:val="22"/>
          <w:lang w:val="en-GB"/>
        </w:rPr>
        <w:t xml:space="preserve">from the closure of the programme </w:t>
      </w:r>
      <w:r w:rsidRPr="00637256">
        <w:rPr>
          <w:sz w:val="22"/>
          <w:szCs w:val="22"/>
          <w:lang w:val="en-GB"/>
        </w:rPr>
        <w:t>(point 7.4 CRL)</w:t>
      </w:r>
      <w:r w:rsidRPr="00637256">
        <w:rPr>
          <w:rFonts w:eastAsia="Calibri"/>
          <w:sz w:val="22"/>
          <w:szCs w:val="22"/>
          <w:lang w:val="en-GB" w:eastAsia="en-US"/>
        </w:rPr>
        <w:t>.</w:t>
      </w:r>
      <w:r w:rsidR="00FC10D8" w:rsidRPr="00637256">
        <w:rPr>
          <w:rFonts w:eastAsia="Calibri"/>
          <w:sz w:val="22"/>
          <w:szCs w:val="22"/>
          <w:lang w:val="en-GB" w:eastAsia="en-US"/>
        </w:rPr>
        <w:t xml:space="preserve"> </w:t>
      </w:r>
    </w:p>
    <w:p w14:paraId="09B62D9C" w14:textId="1AB6574E" w:rsidR="004D7EFA" w:rsidRPr="00637256" w:rsidRDefault="0009417A" w:rsidP="004D7EFA">
      <w:pPr>
        <w:rPr>
          <w:rFonts w:eastAsia="Calibri"/>
          <w:sz w:val="22"/>
          <w:szCs w:val="22"/>
          <w:lang w:val="en-GB" w:eastAsia="en-US"/>
        </w:rPr>
      </w:pPr>
      <w:r w:rsidRPr="00AE09CA">
        <w:rPr>
          <w:sz w:val="22"/>
          <w:szCs w:val="22"/>
          <w:highlight w:val="yellow"/>
          <w:lang w:val="en-GB"/>
        </w:rPr>
        <w:t xml:space="preserve">For DG </w:t>
      </w:r>
      <w:r w:rsidRPr="0043551C">
        <w:rPr>
          <w:sz w:val="22"/>
          <w:szCs w:val="22"/>
          <w:highlight w:val="yellow"/>
          <w:lang w:val="en-GB"/>
        </w:rPr>
        <w:t>NEAR</w:t>
      </w:r>
      <w:r w:rsidR="0043551C" w:rsidRPr="00F8704C">
        <w:rPr>
          <w:sz w:val="22"/>
          <w:szCs w:val="22"/>
          <w:highlight w:val="yellow"/>
          <w:lang w:val="en-GB"/>
        </w:rPr>
        <w:t xml:space="preserve"> please add</w:t>
      </w:r>
      <w:r w:rsidRPr="00637256">
        <w:rPr>
          <w:rFonts w:eastAsia="Calibri"/>
          <w:sz w:val="22"/>
          <w:szCs w:val="22"/>
          <w:lang w:val="en-GB" w:eastAsia="en-US"/>
        </w:rPr>
        <w:t xml:space="preserve"> </w:t>
      </w:r>
      <w:r w:rsidR="00AE09CA">
        <w:rPr>
          <w:rFonts w:eastAsia="Calibri"/>
          <w:sz w:val="22"/>
          <w:szCs w:val="22"/>
          <w:lang w:val="en-GB" w:eastAsia="en-US"/>
        </w:rPr>
        <w:t>[</w:t>
      </w:r>
      <w:r w:rsidR="004D7EFA" w:rsidRPr="00AE09CA">
        <w:rPr>
          <w:rFonts w:eastAsia="Calibri"/>
          <w:sz w:val="22"/>
          <w:szCs w:val="22"/>
          <w:highlight w:val="lightGray"/>
          <w:lang w:val="en-GB" w:eastAsia="en-US"/>
        </w:rPr>
        <w:t xml:space="preserve">Files on shared management, which may cover both technical and financial documentation of the programme or project, as well as any evaluations or audits thereof, are kept for 10 years </w:t>
      </w:r>
      <w:r w:rsidR="00702EE4" w:rsidRPr="00AE09CA">
        <w:rPr>
          <w:rFonts w:eastAsia="Calibri"/>
          <w:sz w:val="22"/>
          <w:szCs w:val="22"/>
          <w:highlight w:val="lightGray"/>
          <w:lang w:val="en-GB" w:eastAsia="en-US"/>
        </w:rPr>
        <w:t xml:space="preserve"> from the closure of the programme </w:t>
      </w:r>
      <w:r w:rsidR="004D7EFA" w:rsidRPr="00AE09CA">
        <w:rPr>
          <w:rFonts w:eastAsia="Calibri"/>
          <w:sz w:val="22"/>
          <w:szCs w:val="22"/>
          <w:highlight w:val="lightGray"/>
          <w:lang w:val="en-GB" w:eastAsia="en-US"/>
        </w:rPr>
        <w:t>(point 7.1 CRL).</w:t>
      </w:r>
      <w:r w:rsidR="00AE09CA">
        <w:rPr>
          <w:rFonts w:eastAsia="Calibri"/>
          <w:sz w:val="22"/>
          <w:szCs w:val="22"/>
          <w:lang w:val="en-GB" w:eastAsia="en-US"/>
        </w:rPr>
        <w:t>]</w:t>
      </w:r>
    </w:p>
    <w:p w14:paraId="2D007DDC" w14:textId="45A01C48" w:rsidR="00CF17DB" w:rsidRPr="00637256" w:rsidRDefault="00CF17DB" w:rsidP="004D7EFA">
      <w:pPr>
        <w:rPr>
          <w:rFonts w:eastAsia="Calibri"/>
          <w:sz w:val="22"/>
          <w:szCs w:val="22"/>
          <w:lang w:val="en-GB" w:eastAsia="en-US"/>
        </w:rPr>
      </w:pPr>
      <w:r w:rsidRPr="00637256">
        <w:rPr>
          <w:sz w:val="22"/>
          <w:szCs w:val="22"/>
          <w:lang w:val="en-GB"/>
        </w:rPr>
        <w:t xml:space="preserve">For Participant Register operations (i.e. participant registration and legal and financial validation), personal data is kept for 10 years from the end of the year of the last financial transaction (e.g. payment, recovery order) of the participant’s last legal commitment (e.g. grant agreement, procurement contract agreement) or from the end of the year when the participant last interacted with its profile in Participant Register (messages, uploading documents, </w:t>
      </w:r>
      <w:proofErr w:type="spellStart"/>
      <w:r w:rsidRPr="00637256">
        <w:rPr>
          <w:sz w:val="22"/>
          <w:szCs w:val="22"/>
          <w:lang w:val="en-GB"/>
        </w:rPr>
        <w:t>etc</w:t>
      </w:r>
      <w:proofErr w:type="spellEnd"/>
      <w:r w:rsidRPr="00637256">
        <w:rPr>
          <w:sz w:val="22"/>
          <w:szCs w:val="22"/>
          <w:lang w:val="en-GB"/>
        </w:rPr>
        <w:t>)</w:t>
      </w:r>
      <w:r w:rsidR="00885565" w:rsidRPr="00637256">
        <w:rPr>
          <w:sz w:val="22"/>
          <w:szCs w:val="22"/>
          <w:lang w:val="en-GB"/>
        </w:rPr>
        <w:t>.</w:t>
      </w:r>
    </w:p>
    <w:p w14:paraId="06E91FA4" w14:textId="77777777" w:rsidR="00630538" w:rsidRPr="00637256" w:rsidRDefault="00630538" w:rsidP="00630538">
      <w:pPr>
        <w:rPr>
          <w:rFonts w:eastAsia="Calibri"/>
          <w:sz w:val="22"/>
          <w:szCs w:val="22"/>
          <w:lang w:val="en-GB" w:eastAsia="en-US"/>
        </w:rPr>
      </w:pPr>
      <w:r w:rsidRPr="00637256">
        <w:rPr>
          <w:rFonts w:eastAsia="Calibri"/>
          <w:sz w:val="22"/>
          <w:szCs w:val="22"/>
          <w:lang w:val="en-GB" w:eastAsia="en-US"/>
        </w:rPr>
        <w:t xml:space="preserve">In case of investigations where irregularities are suspected or have been established in relation to an open </w:t>
      </w:r>
      <w:r w:rsidR="00702EE4" w:rsidRPr="00637256">
        <w:rPr>
          <w:rFonts w:eastAsia="Calibri"/>
          <w:sz w:val="22"/>
          <w:szCs w:val="22"/>
          <w:lang w:val="en-GB" w:eastAsia="en-US"/>
        </w:rPr>
        <w:t>file,</w:t>
      </w:r>
      <w:r w:rsidRPr="00637256">
        <w:rPr>
          <w:rFonts w:eastAsia="Calibri"/>
          <w:sz w:val="22"/>
          <w:szCs w:val="22"/>
          <w:lang w:val="en-GB" w:eastAsia="en-US"/>
        </w:rPr>
        <w:t xml:space="preserve"> </w:t>
      </w:r>
      <w:r w:rsidR="00702EE4" w:rsidRPr="00637256">
        <w:rPr>
          <w:rFonts w:eastAsia="Calibri"/>
          <w:sz w:val="22"/>
          <w:szCs w:val="22"/>
          <w:lang w:val="en-GB" w:eastAsia="en-US"/>
        </w:rPr>
        <w:t>it</w:t>
      </w:r>
      <w:r w:rsidRPr="00637256">
        <w:rPr>
          <w:rFonts w:eastAsia="Calibri"/>
          <w:sz w:val="22"/>
          <w:szCs w:val="22"/>
          <w:lang w:val="en-GB" w:eastAsia="en-US"/>
        </w:rPr>
        <w:t xml:space="preserve"> can only be closed when: (1) it has finally been established that no irregularity took place; or (2) the irregularity has been rectified, possibly</w:t>
      </w:r>
      <w:r w:rsidR="00702EE4" w:rsidRPr="00637256">
        <w:rPr>
          <w:rFonts w:eastAsia="Calibri"/>
          <w:sz w:val="22"/>
          <w:szCs w:val="22"/>
          <w:lang w:val="en-GB" w:eastAsia="en-US"/>
        </w:rPr>
        <w:t>,</w:t>
      </w:r>
      <w:r w:rsidRPr="00637256">
        <w:rPr>
          <w:rFonts w:eastAsia="Calibri"/>
          <w:sz w:val="22"/>
          <w:szCs w:val="22"/>
          <w:lang w:val="en-GB" w:eastAsia="en-US"/>
        </w:rPr>
        <w:t xml:space="preserve"> but not necessarily</w:t>
      </w:r>
      <w:r w:rsidR="00702EE4" w:rsidRPr="00637256">
        <w:rPr>
          <w:rFonts w:eastAsia="Calibri"/>
          <w:sz w:val="22"/>
          <w:szCs w:val="22"/>
          <w:lang w:val="en-GB" w:eastAsia="en-US"/>
        </w:rPr>
        <w:t>,</w:t>
      </w:r>
      <w:r w:rsidRPr="00637256">
        <w:rPr>
          <w:rFonts w:eastAsia="Calibri"/>
          <w:sz w:val="22"/>
          <w:szCs w:val="22"/>
          <w:lang w:val="en-GB" w:eastAsia="en-US"/>
        </w:rPr>
        <w:t xml:space="preserve"> as a result of litigation.</w:t>
      </w:r>
    </w:p>
    <w:p w14:paraId="386F8B54" w14:textId="53A0615C" w:rsidR="00BC29B6" w:rsidRPr="00637256" w:rsidRDefault="00BC29B6" w:rsidP="00BC29B6">
      <w:pPr>
        <w:rPr>
          <w:rFonts w:eastAsia="Calibri"/>
          <w:sz w:val="22"/>
          <w:szCs w:val="22"/>
          <w:lang w:val="en-GB" w:eastAsia="en-US"/>
        </w:rPr>
      </w:pPr>
      <w:r w:rsidRPr="00637256">
        <w:rPr>
          <w:rFonts w:eastAsia="Calibri"/>
          <w:sz w:val="22"/>
          <w:szCs w:val="22"/>
          <w:lang w:val="en-GB" w:eastAsia="en-US"/>
        </w:rPr>
        <w:t xml:space="preserve">The extracts from the judicial records can be kept only for 2 years after the accomplishment of a particular procedure. According to Article 75 of the </w:t>
      </w:r>
      <w:r w:rsidR="004A26D0" w:rsidRPr="00637256">
        <w:rPr>
          <w:rFonts w:eastAsia="Calibri"/>
          <w:sz w:val="22"/>
          <w:szCs w:val="22"/>
          <w:lang w:val="en-GB" w:eastAsia="en-US"/>
        </w:rPr>
        <w:t xml:space="preserve">EU </w:t>
      </w:r>
      <w:r w:rsidRPr="00637256">
        <w:rPr>
          <w:rFonts w:eastAsia="Calibri"/>
          <w:sz w:val="22"/>
          <w:szCs w:val="22"/>
          <w:lang w:val="en-GB" w:eastAsia="en-US"/>
        </w:rPr>
        <w:t xml:space="preserve">Financial Regulation, personal information contained in supporting documents should be deleted when these data are NOT necessary for budgetary discharge control and audit purposes. </w:t>
      </w:r>
    </w:p>
    <w:p w14:paraId="2A40EA90" w14:textId="77777777" w:rsidR="004D7EFA" w:rsidRPr="00637256" w:rsidRDefault="004D7EFA" w:rsidP="004D7EFA">
      <w:pPr>
        <w:rPr>
          <w:rFonts w:eastAsia="Calibri"/>
          <w:sz w:val="22"/>
          <w:szCs w:val="22"/>
          <w:lang w:val="en-GB" w:eastAsia="en-US"/>
        </w:rPr>
      </w:pPr>
      <w:r w:rsidRPr="00637256">
        <w:rPr>
          <w:rFonts w:eastAsia="Calibri"/>
          <w:sz w:val="22"/>
          <w:szCs w:val="22"/>
          <w:lang w:val="en-GB" w:eastAsia="en-US"/>
        </w:rPr>
        <w:t xml:space="preserve">The Commission’s contractors/beneficiaries are under contractual obligation to keep records </w:t>
      </w:r>
      <w:r w:rsidR="00630538" w:rsidRPr="00637256">
        <w:rPr>
          <w:rFonts w:eastAsia="Calibri"/>
          <w:sz w:val="22"/>
          <w:szCs w:val="22"/>
          <w:lang w:val="en-GB" w:eastAsia="en-US"/>
        </w:rPr>
        <w:t xml:space="preserve">for a </w:t>
      </w:r>
      <w:r w:rsidRPr="00637256">
        <w:rPr>
          <w:rFonts w:eastAsia="Calibri"/>
          <w:sz w:val="22"/>
          <w:szCs w:val="22"/>
          <w:lang w:val="en-GB" w:eastAsia="en-US"/>
        </w:rPr>
        <w:t>seven/five year period after the final payment made under the contract.</w:t>
      </w:r>
      <w:r w:rsidRPr="00637256">
        <w:rPr>
          <w:sz w:val="22"/>
          <w:szCs w:val="22"/>
          <w:lang w:val="en-GB"/>
        </w:rPr>
        <w:t xml:space="preserve"> </w:t>
      </w:r>
      <w:r w:rsidRPr="00637256">
        <w:rPr>
          <w:rFonts w:eastAsia="Calibri"/>
          <w:sz w:val="22"/>
          <w:szCs w:val="22"/>
          <w:lang w:val="en-GB" w:eastAsia="en-US"/>
        </w:rPr>
        <w:t>These documents comprise any documentation concerning income and expenditure and any inventory, necessary for the checking of supporting documents, including</w:t>
      </w:r>
      <w:r w:rsidR="003818F8" w:rsidRPr="00637256">
        <w:rPr>
          <w:rFonts w:eastAsia="Calibri"/>
          <w:sz w:val="22"/>
          <w:szCs w:val="22"/>
          <w:lang w:val="en-GB" w:eastAsia="en-US"/>
        </w:rPr>
        <w:t xml:space="preserve"> but not limited to</w:t>
      </w:r>
      <w:r w:rsidRPr="00637256">
        <w:rPr>
          <w:rFonts w:eastAsia="Calibri"/>
          <w:sz w:val="22"/>
          <w:szCs w:val="22"/>
          <w:lang w:val="en-GB" w:eastAsia="en-US"/>
        </w:rPr>
        <w:t xml:space="preserve"> timesheets, plane and transport tickets, pay slips for the remuneration paid to the experts and invoices or receipts for incidental expenditure.</w:t>
      </w:r>
    </w:p>
    <w:p w14:paraId="17735003" w14:textId="77777777" w:rsidR="006B6CEE" w:rsidRPr="00637256" w:rsidRDefault="006B6CEE" w:rsidP="006B6CEE">
      <w:pPr>
        <w:numPr>
          <w:ilvl w:val="0"/>
          <w:numId w:val="21"/>
        </w:numPr>
        <w:spacing w:after="200"/>
        <w:rPr>
          <w:rFonts w:eastAsia="Calibri"/>
          <w:b/>
          <w:sz w:val="22"/>
          <w:szCs w:val="22"/>
          <w:u w:val="single"/>
          <w:lang w:val="en-GB" w:eastAsia="en-US"/>
        </w:rPr>
      </w:pPr>
      <w:r w:rsidRPr="00637256">
        <w:rPr>
          <w:rFonts w:eastAsia="Calibri"/>
          <w:b/>
          <w:sz w:val="22"/>
          <w:szCs w:val="22"/>
          <w:u w:val="single"/>
          <w:lang w:val="en-GB" w:eastAsia="en-US"/>
        </w:rPr>
        <w:t>How do we protect and safeguard your personal data?</w:t>
      </w:r>
    </w:p>
    <w:p w14:paraId="3DD13152" w14:textId="77777777" w:rsidR="006B6CEE" w:rsidRPr="00637256" w:rsidRDefault="006B6CEE" w:rsidP="006B6CEE">
      <w:pPr>
        <w:rPr>
          <w:rFonts w:eastAsia="Calibri"/>
          <w:bCs/>
          <w:sz w:val="22"/>
          <w:szCs w:val="22"/>
          <w:lang w:val="en-GB" w:eastAsia="en-US"/>
        </w:rPr>
      </w:pPr>
      <w:r w:rsidRPr="00637256">
        <w:rPr>
          <w:rFonts w:eastAsia="Calibri"/>
          <w:bCs/>
          <w:sz w:val="22"/>
          <w:szCs w:val="22"/>
          <w:lang w:val="en-GB" w:eastAsia="en-US"/>
        </w:rPr>
        <w:t>All personal data in electronic format (e-mails, documents, databases, uploaded batches of data, etc.) are stored either on the servers of the European Commission or of its contractors</w:t>
      </w:r>
      <w:r w:rsidR="00D4532B" w:rsidRPr="00637256">
        <w:rPr>
          <w:rFonts w:eastAsia="Calibri"/>
          <w:bCs/>
          <w:i/>
          <w:sz w:val="22"/>
          <w:szCs w:val="22"/>
          <w:lang w:val="en-GB" w:eastAsia="en-US"/>
        </w:rPr>
        <w:t>.</w:t>
      </w:r>
      <w:r w:rsidRPr="00637256">
        <w:rPr>
          <w:rFonts w:eastAsia="Calibri"/>
          <w:bCs/>
          <w:i/>
          <w:sz w:val="22"/>
          <w:szCs w:val="22"/>
          <w:lang w:val="en-GB" w:eastAsia="en-US"/>
        </w:rPr>
        <w:t xml:space="preserve"> </w:t>
      </w:r>
      <w:r w:rsidRPr="00637256">
        <w:rPr>
          <w:rFonts w:eastAsia="Calibri"/>
          <w:bCs/>
          <w:sz w:val="22"/>
          <w:szCs w:val="22"/>
          <w:lang w:val="en-GB" w:eastAsia="en-US"/>
        </w:rPr>
        <w:t xml:space="preserve">All processing operations are carried out pursuant to the </w:t>
      </w:r>
      <w:hyperlink r:id="rId20" w:history="1">
        <w:r w:rsidRPr="00637256">
          <w:rPr>
            <w:rStyle w:val="Hyperlink"/>
            <w:rFonts w:eastAsia="Calibri"/>
            <w:bCs/>
            <w:sz w:val="22"/>
            <w:szCs w:val="22"/>
            <w:lang w:val="en-GB" w:eastAsia="en-US"/>
          </w:rPr>
          <w:t xml:space="preserve">Commission Decision (EU, </w:t>
        </w:r>
        <w:proofErr w:type="spellStart"/>
        <w:proofErr w:type="gramStart"/>
        <w:r w:rsidRPr="00637256">
          <w:rPr>
            <w:rStyle w:val="Hyperlink"/>
            <w:rFonts w:eastAsia="Calibri"/>
            <w:bCs/>
            <w:sz w:val="22"/>
            <w:szCs w:val="22"/>
            <w:lang w:val="en-GB" w:eastAsia="en-US"/>
          </w:rPr>
          <w:t>Euratom</w:t>
        </w:r>
        <w:proofErr w:type="spellEnd"/>
        <w:proofErr w:type="gramEnd"/>
        <w:r w:rsidRPr="00637256">
          <w:rPr>
            <w:rStyle w:val="Hyperlink"/>
            <w:rFonts w:eastAsia="Calibri"/>
            <w:bCs/>
            <w:sz w:val="22"/>
            <w:szCs w:val="22"/>
            <w:lang w:val="en-GB" w:eastAsia="en-US"/>
          </w:rPr>
          <w:t>) 2017/46</w:t>
        </w:r>
      </w:hyperlink>
      <w:r w:rsidRPr="00637256">
        <w:rPr>
          <w:rFonts w:eastAsia="Calibri"/>
          <w:bCs/>
          <w:sz w:val="22"/>
          <w:szCs w:val="22"/>
          <w:lang w:val="en-GB" w:eastAsia="en-US"/>
        </w:rPr>
        <w:t xml:space="preserve"> of 10 January 2017 on the security of communication and information systems in the European Commission.</w:t>
      </w:r>
    </w:p>
    <w:p w14:paraId="1D5DF367" w14:textId="77777777" w:rsidR="006B6CEE" w:rsidRPr="00637256" w:rsidRDefault="006B6CEE" w:rsidP="00FC10D8">
      <w:pPr>
        <w:rPr>
          <w:rFonts w:eastAsia="Calibri"/>
          <w:bCs/>
          <w:i/>
          <w:sz w:val="22"/>
          <w:szCs w:val="22"/>
          <w:lang w:val="en-GB" w:eastAsia="en-US"/>
        </w:rPr>
      </w:pPr>
      <w:r w:rsidRPr="00637256">
        <w:rPr>
          <w:rFonts w:eastAsia="Calibri"/>
          <w:bCs/>
          <w:sz w:val="22"/>
          <w:szCs w:val="22"/>
          <w:lang w:val="en-GB" w:eastAsia="en-US"/>
        </w:rPr>
        <w:t>The Commission’s contractors are bound by a specific contractual clause for any processing operations of your data on behalf of the Commission</w:t>
      </w:r>
      <w:r w:rsidR="00AA2A1F" w:rsidRPr="00637256">
        <w:rPr>
          <w:rFonts w:eastAsia="Calibri"/>
          <w:bCs/>
          <w:sz w:val="22"/>
          <w:szCs w:val="22"/>
          <w:lang w:val="en-GB" w:eastAsia="en-US"/>
        </w:rPr>
        <w:t>.</w:t>
      </w:r>
      <w:r w:rsidR="00AA2A1F" w:rsidRPr="00637256">
        <w:rPr>
          <w:rFonts w:eastAsia="Calibri"/>
          <w:bCs/>
          <w:i/>
          <w:sz w:val="22"/>
          <w:szCs w:val="22"/>
          <w:lang w:val="en-GB" w:eastAsia="en-US"/>
        </w:rPr>
        <w:t xml:space="preserve"> </w:t>
      </w:r>
      <w:r w:rsidR="00AA2A1F" w:rsidRPr="00637256">
        <w:rPr>
          <w:rFonts w:eastAsia="Calibri"/>
          <w:bCs/>
          <w:sz w:val="22"/>
          <w:szCs w:val="22"/>
          <w:lang w:val="en-GB" w:eastAsia="en-US"/>
        </w:rPr>
        <w:t>If the processing falls within its scope, the Commission’s contractors are also bound</w:t>
      </w:r>
      <w:r w:rsidR="00AA2A1F" w:rsidRPr="00637256">
        <w:rPr>
          <w:rFonts w:eastAsia="Calibri"/>
          <w:bCs/>
          <w:i/>
          <w:sz w:val="22"/>
          <w:szCs w:val="22"/>
          <w:lang w:val="en-GB" w:eastAsia="en-US"/>
        </w:rPr>
        <w:t xml:space="preserve"> </w:t>
      </w:r>
      <w:r w:rsidRPr="00637256">
        <w:rPr>
          <w:rFonts w:eastAsia="Calibri"/>
          <w:bCs/>
          <w:sz w:val="22"/>
          <w:szCs w:val="22"/>
          <w:lang w:val="en-GB" w:eastAsia="en-US"/>
        </w:rPr>
        <w:t>by the confidentiality obligations deriving from the General Data Protection Regulation (‘GDPR’</w:t>
      </w:r>
      <w:r w:rsidR="00AA2A1F" w:rsidRPr="00637256">
        <w:rPr>
          <w:rFonts w:eastAsia="Calibri"/>
          <w:bCs/>
          <w:sz w:val="22"/>
          <w:szCs w:val="22"/>
          <w:lang w:val="en-GB" w:eastAsia="en-US"/>
        </w:rPr>
        <w:t>)</w:t>
      </w:r>
      <w:r w:rsidRPr="00637256">
        <w:rPr>
          <w:rFonts w:eastAsia="Calibri"/>
          <w:bCs/>
          <w:sz w:val="22"/>
          <w:szCs w:val="22"/>
          <w:lang w:val="en-GB" w:eastAsia="en-US"/>
        </w:rPr>
        <w:t xml:space="preserve"> </w:t>
      </w:r>
      <w:hyperlink r:id="rId21" w:history="1">
        <w:r w:rsidRPr="00637256">
          <w:rPr>
            <w:rStyle w:val="Hyperlink"/>
            <w:rFonts w:eastAsia="Calibri"/>
            <w:bCs/>
            <w:sz w:val="22"/>
            <w:szCs w:val="22"/>
            <w:lang w:val="en-GB" w:eastAsia="en-US"/>
          </w:rPr>
          <w:t>Regulation (EU) 2016/679</w:t>
        </w:r>
      </w:hyperlink>
      <w:r w:rsidR="00BC29B6" w:rsidRPr="00637256">
        <w:rPr>
          <w:rFonts w:eastAsia="Calibri"/>
          <w:bCs/>
          <w:sz w:val="22"/>
          <w:szCs w:val="22"/>
          <w:lang w:val="en-GB" w:eastAsia="en-US"/>
        </w:rPr>
        <w:t>.</w:t>
      </w:r>
    </w:p>
    <w:p w14:paraId="384F7D60" w14:textId="77777777" w:rsidR="006B6CEE" w:rsidRPr="00637256" w:rsidRDefault="006B6CEE" w:rsidP="006B6CEE">
      <w:pPr>
        <w:spacing w:after="200"/>
        <w:rPr>
          <w:rFonts w:eastAsia="Calibri"/>
          <w:sz w:val="22"/>
          <w:szCs w:val="22"/>
          <w:lang w:val="en-GB" w:eastAsia="en-US"/>
        </w:rPr>
      </w:pPr>
      <w:r w:rsidRPr="00637256">
        <w:rPr>
          <w:rFonts w:eastAsia="Calibri"/>
          <w:sz w:val="22"/>
          <w:szCs w:val="22"/>
          <w:lang w:val="en-GB" w:eastAsia="en-US"/>
        </w:rPr>
        <w:t>In order to protect your personal data, the Commission has put in place a number of technical and organisational measures in place. Technical measures include appropriate actions to address online security, risk of data loss, alteration of data or unauthorised access, taking into consideration the risk presented by the processing and the nature of the personal data being processed. Organisational measures include restricting access to the personal data solely to authorised persons with a legitimate need to know for the purposes of this processing operation.</w:t>
      </w:r>
    </w:p>
    <w:p w14:paraId="5C89A63D" w14:textId="77777777" w:rsidR="006B6CEE" w:rsidRPr="00637256" w:rsidRDefault="006B6CEE" w:rsidP="006B6CEE">
      <w:pPr>
        <w:numPr>
          <w:ilvl w:val="0"/>
          <w:numId w:val="21"/>
        </w:numPr>
        <w:spacing w:after="200"/>
        <w:rPr>
          <w:rFonts w:eastAsia="Calibri"/>
          <w:b/>
          <w:sz w:val="22"/>
          <w:szCs w:val="22"/>
          <w:u w:val="single"/>
          <w:lang w:val="en-GB" w:eastAsia="en-US"/>
        </w:rPr>
      </w:pPr>
      <w:r w:rsidRPr="00637256">
        <w:rPr>
          <w:rFonts w:eastAsia="Calibri"/>
          <w:b/>
          <w:sz w:val="22"/>
          <w:szCs w:val="22"/>
          <w:u w:val="single"/>
          <w:lang w:val="en-GB" w:eastAsia="en-US"/>
        </w:rPr>
        <w:t>Who has access to your personal data and to whom is it disclosed?</w:t>
      </w:r>
    </w:p>
    <w:p w14:paraId="27BB4E40" w14:textId="77777777" w:rsidR="006B6CEE" w:rsidRPr="00637256" w:rsidRDefault="006B6CEE" w:rsidP="006B6CEE">
      <w:pPr>
        <w:rPr>
          <w:rFonts w:eastAsia="Calibri"/>
          <w:bCs/>
          <w:sz w:val="22"/>
          <w:szCs w:val="22"/>
          <w:lang w:val="en-GB" w:eastAsia="en-US"/>
        </w:rPr>
      </w:pPr>
      <w:r w:rsidRPr="00637256">
        <w:rPr>
          <w:rFonts w:eastAsia="Calibri"/>
          <w:bCs/>
          <w:sz w:val="22"/>
          <w:szCs w:val="22"/>
          <w:lang w:val="en-GB" w:eastAsia="en-US"/>
        </w:rPr>
        <w:t xml:space="preserve">Access to your personal data is provided to the Commission </w:t>
      </w:r>
      <w:r w:rsidRPr="00637256">
        <w:rPr>
          <w:rFonts w:eastAsia="Calibri"/>
          <w:sz w:val="22"/>
          <w:szCs w:val="22"/>
          <w:lang w:val="en-GB" w:eastAsia="en-US"/>
        </w:rPr>
        <w:t xml:space="preserve">staff responsible for carrying out this processing operation and to </w:t>
      </w:r>
      <w:r w:rsidRPr="00637256">
        <w:rPr>
          <w:rFonts w:eastAsia="Calibri"/>
          <w:bCs/>
          <w:sz w:val="22"/>
          <w:szCs w:val="22"/>
          <w:lang w:val="en-GB" w:eastAsia="en-US"/>
        </w:rPr>
        <w:t>authorised staff according to the “need to know” principle. Such staff abide by statutory, and when required, additional confidentiality agreements.</w:t>
      </w:r>
    </w:p>
    <w:p w14:paraId="57B5A9CA" w14:textId="77777777" w:rsidR="005D77E6" w:rsidRPr="00637256" w:rsidRDefault="005D77E6" w:rsidP="005D77E6">
      <w:pPr>
        <w:rPr>
          <w:rFonts w:eastAsia="Calibri"/>
          <w:i/>
          <w:sz w:val="22"/>
          <w:szCs w:val="22"/>
          <w:u w:val="single"/>
          <w:lang w:val="en-GB" w:eastAsia="en-US"/>
        </w:rPr>
      </w:pPr>
      <w:r w:rsidRPr="00637256">
        <w:rPr>
          <w:rFonts w:eastAsia="Calibri"/>
          <w:i/>
          <w:sz w:val="22"/>
          <w:szCs w:val="22"/>
          <w:u w:val="single"/>
          <w:lang w:val="en-GB" w:eastAsia="en-US"/>
        </w:rPr>
        <w:t>Recipients within the EU organisation:</w:t>
      </w:r>
    </w:p>
    <w:p w14:paraId="6F3FA197" w14:textId="11840A39" w:rsidR="005D77E6" w:rsidRPr="00637256" w:rsidRDefault="00D4532B" w:rsidP="005D77E6">
      <w:pPr>
        <w:rPr>
          <w:rFonts w:eastAsia="Calibri"/>
          <w:sz w:val="22"/>
          <w:szCs w:val="22"/>
          <w:lang w:val="en-GB" w:eastAsia="en-US"/>
        </w:rPr>
      </w:pPr>
      <w:r w:rsidRPr="00637256">
        <w:rPr>
          <w:rFonts w:eastAsia="Calibri"/>
          <w:sz w:val="22"/>
          <w:szCs w:val="22"/>
          <w:lang w:val="en-GB" w:eastAsia="en-US"/>
        </w:rPr>
        <w:t xml:space="preserve">• </w:t>
      </w:r>
      <w:r w:rsidR="005D77E6" w:rsidRPr="00637256">
        <w:rPr>
          <w:rFonts w:eastAsia="Calibri"/>
          <w:sz w:val="22"/>
          <w:szCs w:val="22"/>
          <w:lang w:val="en-GB" w:eastAsia="en-US"/>
        </w:rPr>
        <w:t xml:space="preserve">Staff and </w:t>
      </w:r>
      <w:r w:rsidR="005D77E6" w:rsidRPr="00637256">
        <w:rPr>
          <w:rFonts w:eastAsia="Calibri"/>
          <w:i/>
          <w:sz w:val="22"/>
          <w:szCs w:val="22"/>
          <w:lang w:val="en-GB" w:eastAsia="en-US"/>
        </w:rPr>
        <w:t xml:space="preserve">intra </w:t>
      </w:r>
      <w:proofErr w:type="spellStart"/>
      <w:r w:rsidR="005D77E6" w:rsidRPr="00637256">
        <w:rPr>
          <w:rFonts w:eastAsia="Calibri"/>
          <w:i/>
          <w:sz w:val="22"/>
          <w:szCs w:val="22"/>
          <w:lang w:val="en-GB" w:eastAsia="en-US"/>
        </w:rPr>
        <w:t>muros</w:t>
      </w:r>
      <w:proofErr w:type="spellEnd"/>
      <w:r w:rsidR="005D77E6" w:rsidRPr="00637256">
        <w:rPr>
          <w:rFonts w:eastAsia="Calibri"/>
          <w:sz w:val="22"/>
          <w:szCs w:val="22"/>
          <w:lang w:val="en-GB" w:eastAsia="en-US"/>
        </w:rPr>
        <w:t xml:space="preserve"> service providers of operational and financial units of </w:t>
      </w:r>
      <w:r w:rsidR="0043551C">
        <w:rPr>
          <w:rFonts w:eastAsia="Calibri"/>
          <w:sz w:val="22"/>
          <w:szCs w:val="22"/>
          <w:lang w:val="en-GB" w:eastAsia="en-US"/>
        </w:rPr>
        <w:t>[</w:t>
      </w:r>
      <w:r w:rsidR="00A0789A" w:rsidRPr="002C3C2B">
        <w:rPr>
          <w:sz w:val="22"/>
          <w:szCs w:val="22"/>
          <w:highlight w:val="lightGray"/>
          <w:lang w:val="en-GB"/>
        </w:rPr>
        <w:t xml:space="preserve">DG </w:t>
      </w:r>
      <w:r w:rsidR="00B63152" w:rsidRPr="002C3C2B">
        <w:rPr>
          <w:sz w:val="22"/>
          <w:szCs w:val="22"/>
          <w:highlight w:val="lightGray"/>
          <w:lang w:val="en-GB"/>
        </w:rPr>
        <w:t>INTPA</w:t>
      </w:r>
      <w:r w:rsidR="0043551C">
        <w:rPr>
          <w:sz w:val="22"/>
          <w:szCs w:val="22"/>
          <w:lang w:val="en-GB"/>
        </w:rPr>
        <w:t>] [</w:t>
      </w:r>
      <w:r w:rsidR="00A0789A" w:rsidRPr="00F8704C">
        <w:rPr>
          <w:sz w:val="22"/>
          <w:szCs w:val="22"/>
          <w:highlight w:val="lightGray"/>
          <w:lang w:val="en-GB"/>
        </w:rPr>
        <w:t>DG NEAR</w:t>
      </w:r>
      <w:r w:rsidR="0043551C">
        <w:rPr>
          <w:sz w:val="22"/>
          <w:szCs w:val="22"/>
          <w:lang w:val="en-GB"/>
        </w:rPr>
        <w:t>] [</w:t>
      </w:r>
      <w:r w:rsidR="005E1E64" w:rsidRPr="00F8704C">
        <w:rPr>
          <w:sz w:val="22"/>
          <w:szCs w:val="22"/>
          <w:highlight w:val="lightGray"/>
          <w:lang w:val="en-GB"/>
        </w:rPr>
        <w:t>FPI</w:t>
      </w:r>
      <w:r w:rsidR="0043551C">
        <w:rPr>
          <w:sz w:val="22"/>
          <w:szCs w:val="22"/>
          <w:lang w:val="en-GB"/>
        </w:rPr>
        <w:t>]</w:t>
      </w:r>
      <w:r w:rsidR="00A0789A" w:rsidRPr="00637256">
        <w:rPr>
          <w:sz w:val="22"/>
          <w:szCs w:val="22"/>
          <w:lang w:val="en-GB"/>
        </w:rPr>
        <w:t xml:space="preserve"> </w:t>
      </w:r>
      <w:r w:rsidR="005D77E6" w:rsidRPr="00637256">
        <w:rPr>
          <w:rFonts w:eastAsia="Calibri"/>
          <w:sz w:val="22"/>
          <w:szCs w:val="22"/>
          <w:lang w:val="en-GB" w:eastAsia="en-US"/>
        </w:rPr>
        <w:t>in both HQ and EUDEL participating in management of selection of experts or procurement or grant award procedures as defined under point 2 and to the bodies charged with a monitoring or inspection task in application of Union law (e.g. internal control, internal audit);</w:t>
      </w:r>
    </w:p>
    <w:p w14:paraId="4C3DEA6C" w14:textId="747F6104" w:rsidR="00010498" w:rsidRPr="00637256" w:rsidRDefault="00010498" w:rsidP="00010498">
      <w:pPr>
        <w:rPr>
          <w:rFonts w:eastAsia="Calibri"/>
          <w:sz w:val="22"/>
          <w:szCs w:val="22"/>
          <w:lang w:val="en-GB" w:eastAsia="en-US"/>
        </w:rPr>
      </w:pPr>
      <w:r w:rsidRPr="00637256">
        <w:rPr>
          <w:rFonts w:eastAsia="Calibri"/>
          <w:sz w:val="22"/>
          <w:szCs w:val="22"/>
          <w:lang w:val="en-GB" w:eastAsia="en-US"/>
        </w:rPr>
        <w:t xml:space="preserve">• Staff of other Commission’s DGs and EU bodies and agencies (DG BUDG and </w:t>
      </w:r>
      <w:r w:rsidR="003A3A25" w:rsidRPr="00637256">
        <w:rPr>
          <w:rFonts w:eastAsia="Calibri"/>
          <w:sz w:val="22"/>
          <w:szCs w:val="22"/>
          <w:lang w:val="en-GB" w:eastAsia="en-US"/>
        </w:rPr>
        <w:t>European Research Executive Agency</w:t>
      </w:r>
      <w:r w:rsidRPr="00637256">
        <w:rPr>
          <w:rFonts w:eastAsia="Calibri"/>
          <w:sz w:val="22"/>
          <w:szCs w:val="22"/>
          <w:lang w:val="en-GB" w:eastAsia="en-US"/>
        </w:rPr>
        <w:t>) where necessary for the purpose of legal, financial and/or administrative validation processes;</w:t>
      </w:r>
    </w:p>
    <w:p w14:paraId="77271DAE" w14:textId="289A54F7" w:rsidR="005D77E6" w:rsidRPr="00637256" w:rsidRDefault="00D4532B" w:rsidP="005D77E6">
      <w:pPr>
        <w:rPr>
          <w:rFonts w:eastAsia="Calibri"/>
          <w:sz w:val="22"/>
          <w:szCs w:val="22"/>
          <w:lang w:val="en-GB" w:eastAsia="en-US"/>
        </w:rPr>
      </w:pPr>
      <w:r w:rsidRPr="00637256">
        <w:rPr>
          <w:rFonts w:eastAsia="Calibri"/>
          <w:sz w:val="22"/>
          <w:szCs w:val="22"/>
          <w:lang w:val="en-GB" w:eastAsia="en-US"/>
        </w:rPr>
        <w:t xml:space="preserve">• </w:t>
      </w:r>
      <w:r w:rsidR="005D77E6" w:rsidRPr="00637256">
        <w:rPr>
          <w:rFonts w:eastAsia="Calibri"/>
          <w:sz w:val="22"/>
          <w:szCs w:val="22"/>
          <w:lang w:val="en-GB" w:eastAsia="en-US"/>
        </w:rPr>
        <w:t xml:space="preserve">Staff of OLAF, IDOC, IAS (Internal Audit Services), </w:t>
      </w:r>
      <w:r w:rsidR="007A7C48" w:rsidRPr="00637256">
        <w:rPr>
          <w:rFonts w:eastAsia="Calibri"/>
          <w:sz w:val="22"/>
          <w:szCs w:val="22"/>
          <w:lang w:val="en-GB" w:eastAsia="en-US"/>
        </w:rPr>
        <w:t xml:space="preserve">the </w:t>
      </w:r>
      <w:r w:rsidR="005D77E6" w:rsidRPr="00637256">
        <w:rPr>
          <w:rFonts w:eastAsia="Calibri"/>
          <w:sz w:val="22"/>
          <w:szCs w:val="22"/>
          <w:lang w:val="en-GB" w:eastAsia="en-US"/>
        </w:rPr>
        <w:t>European Court of Auditors</w:t>
      </w:r>
      <w:r w:rsidR="003A3A25" w:rsidRPr="00637256">
        <w:rPr>
          <w:rFonts w:eastAsia="Calibri"/>
          <w:color w:val="000000" w:themeColor="text1"/>
          <w:sz w:val="22"/>
          <w:szCs w:val="22"/>
          <w:lang w:val="en-GB" w:eastAsia="en-US"/>
        </w:rPr>
        <w:t xml:space="preserve">, </w:t>
      </w:r>
      <w:r w:rsidR="007A7C48" w:rsidRPr="00637256">
        <w:rPr>
          <w:rFonts w:eastAsia="Calibri"/>
          <w:color w:val="000000" w:themeColor="text1"/>
          <w:sz w:val="22"/>
          <w:szCs w:val="22"/>
          <w:lang w:val="en-GB" w:eastAsia="en-US"/>
        </w:rPr>
        <w:t xml:space="preserve">the </w:t>
      </w:r>
      <w:r w:rsidR="003A3A25" w:rsidRPr="00637256">
        <w:rPr>
          <w:rFonts w:eastAsia="Calibri"/>
          <w:color w:val="000000" w:themeColor="text1"/>
          <w:sz w:val="22"/>
          <w:szCs w:val="22"/>
          <w:lang w:val="en-GB" w:eastAsia="en-US"/>
        </w:rPr>
        <w:t>European Public Prosecutor’s Office</w:t>
      </w:r>
      <w:r w:rsidR="005D77E6" w:rsidRPr="00637256">
        <w:rPr>
          <w:rFonts w:eastAsia="Calibri"/>
          <w:color w:val="000000" w:themeColor="text1"/>
          <w:sz w:val="22"/>
          <w:szCs w:val="22"/>
          <w:lang w:val="en-GB" w:eastAsia="en-US"/>
        </w:rPr>
        <w:t xml:space="preserve"> and the </w:t>
      </w:r>
      <w:r w:rsidR="005D77E6" w:rsidRPr="00637256">
        <w:rPr>
          <w:rFonts w:eastAsia="Calibri"/>
          <w:sz w:val="22"/>
          <w:szCs w:val="22"/>
          <w:lang w:val="en-GB" w:eastAsia="en-US"/>
        </w:rPr>
        <w:t>Legal Service of the Commission as well as staff of other DGs (SG, DG BUDG and clearinghouse) upon request</w:t>
      </w:r>
      <w:r w:rsidR="00831C12" w:rsidRPr="00637256">
        <w:rPr>
          <w:rFonts w:eastAsia="Calibri"/>
          <w:sz w:val="22"/>
          <w:szCs w:val="22"/>
          <w:lang w:val="en-GB" w:eastAsia="en-US"/>
        </w:rPr>
        <w:t>, where</w:t>
      </w:r>
      <w:r w:rsidR="005D77E6" w:rsidRPr="00637256">
        <w:rPr>
          <w:rFonts w:eastAsia="Calibri"/>
          <w:sz w:val="22"/>
          <w:szCs w:val="22"/>
          <w:lang w:val="en-GB" w:eastAsia="en-US"/>
        </w:rPr>
        <w:t xml:space="preserve"> necessary in the context of official investigations or for audit purposes</w:t>
      </w:r>
      <w:r w:rsidR="00F76A5E" w:rsidRPr="00637256">
        <w:rPr>
          <w:rFonts w:eastAsia="Calibri"/>
          <w:sz w:val="22"/>
          <w:szCs w:val="22"/>
          <w:lang w:val="en-GB" w:eastAsia="en-US"/>
        </w:rPr>
        <w:t>;</w:t>
      </w:r>
    </w:p>
    <w:p w14:paraId="32AA97EB" w14:textId="77777777" w:rsidR="005D77E6" w:rsidRPr="00637256" w:rsidRDefault="005D77E6" w:rsidP="005D77E6">
      <w:pPr>
        <w:rPr>
          <w:rFonts w:eastAsia="Calibri"/>
          <w:i/>
          <w:sz w:val="22"/>
          <w:szCs w:val="22"/>
          <w:u w:val="single"/>
          <w:lang w:val="en-GB" w:eastAsia="en-US"/>
        </w:rPr>
      </w:pPr>
      <w:r w:rsidRPr="00637256">
        <w:rPr>
          <w:rFonts w:eastAsia="Calibri"/>
          <w:i/>
          <w:sz w:val="22"/>
          <w:szCs w:val="22"/>
          <w:u w:val="single"/>
          <w:lang w:val="en-GB" w:eastAsia="en-US"/>
        </w:rPr>
        <w:t>Recipients outside the EU organisation:</w:t>
      </w:r>
    </w:p>
    <w:p w14:paraId="5592E803" w14:textId="17128FC7" w:rsidR="005D77E6" w:rsidRPr="00637256" w:rsidRDefault="00D4532B" w:rsidP="005D77E6">
      <w:pPr>
        <w:rPr>
          <w:rFonts w:eastAsia="Calibri"/>
          <w:sz w:val="22"/>
          <w:szCs w:val="22"/>
          <w:lang w:val="en-GB" w:eastAsia="en-US"/>
        </w:rPr>
      </w:pPr>
      <w:r w:rsidRPr="00637256">
        <w:rPr>
          <w:rFonts w:eastAsia="Calibri"/>
          <w:sz w:val="22"/>
          <w:szCs w:val="22"/>
          <w:lang w:val="en-GB" w:eastAsia="en-US"/>
        </w:rPr>
        <w:t xml:space="preserve">• </w:t>
      </w:r>
      <w:r w:rsidR="005D77E6" w:rsidRPr="00637256">
        <w:rPr>
          <w:rFonts w:eastAsia="Calibri"/>
          <w:sz w:val="22"/>
          <w:szCs w:val="22"/>
          <w:lang w:val="en-GB" w:eastAsia="en-US"/>
        </w:rPr>
        <w:t xml:space="preserve">External experts and contractors participating in the evaluation of </w:t>
      </w:r>
      <w:r w:rsidR="00833423" w:rsidRPr="00637256">
        <w:rPr>
          <w:rFonts w:eastAsia="Calibri"/>
          <w:sz w:val="22"/>
          <w:szCs w:val="22"/>
          <w:lang w:val="en-GB" w:eastAsia="en-US"/>
        </w:rPr>
        <w:t>application documents</w:t>
      </w:r>
      <w:r w:rsidR="005D77E6" w:rsidRPr="00637256">
        <w:rPr>
          <w:rFonts w:eastAsia="Calibri"/>
          <w:sz w:val="22"/>
          <w:szCs w:val="22"/>
          <w:lang w:val="en-GB" w:eastAsia="en-US"/>
        </w:rPr>
        <w:t xml:space="preserve"> </w:t>
      </w:r>
      <w:r w:rsidR="00833423" w:rsidRPr="00637256">
        <w:rPr>
          <w:rFonts w:eastAsia="Calibri"/>
          <w:sz w:val="22"/>
          <w:szCs w:val="22"/>
          <w:lang w:val="en-GB" w:eastAsia="en-US"/>
        </w:rPr>
        <w:t xml:space="preserve">(in the meaning of Article 2(2) of the EU Financial Regulation) </w:t>
      </w:r>
      <w:r w:rsidR="005D77E6" w:rsidRPr="00637256">
        <w:rPr>
          <w:rFonts w:eastAsia="Calibri"/>
          <w:sz w:val="22"/>
          <w:szCs w:val="22"/>
          <w:lang w:val="en-GB" w:eastAsia="en-US"/>
        </w:rPr>
        <w:t>when external expertise is required, on the basis of Article</w:t>
      </w:r>
      <w:r w:rsidR="00FC10D8" w:rsidRPr="00637256">
        <w:rPr>
          <w:rFonts w:eastAsia="Calibri"/>
          <w:sz w:val="22"/>
          <w:szCs w:val="22"/>
          <w:lang w:val="en-GB" w:eastAsia="en-US"/>
        </w:rPr>
        <w:t>s</w:t>
      </w:r>
      <w:r w:rsidR="005D77E6" w:rsidRPr="00637256">
        <w:rPr>
          <w:rFonts w:eastAsia="Calibri"/>
          <w:sz w:val="22"/>
          <w:szCs w:val="22"/>
          <w:lang w:val="en-GB" w:eastAsia="en-US"/>
        </w:rPr>
        <w:t xml:space="preserve"> </w:t>
      </w:r>
      <w:r w:rsidR="00FC10D8" w:rsidRPr="00637256">
        <w:rPr>
          <w:rFonts w:eastAsia="Calibri"/>
          <w:sz w:val="22"/>
          <w:szCs w:val="22"/>
          <w:lang w:val="en-GB" w:eastAsia="en-US"/>
        </w:rPr>
        <w:t xml:space="preserve">150 and </w:t>
      </w:r>
      <w:r w:rsidR="005D77E6" w:rsidRPr="00637256">
        <w:rPr>
          <w:rFonts w:eastAsia="Calibri"/>
          <w:sz w:val="22"/>
          <w:szCs w:val="22"/>
          <w:lang w:val="en-GB" w:eastAsia="en-US"/>
        </w:rPr>
        <w:t xml:space="preserve">237 of the </w:t>
      </w:r>
      <w:r w:rsidR="004A26D0" w:rsidRPr="00637256">
        <w:rPr>
          <w:rFonts w:eastAsia="Calibri"/>
          <w:sz w:val="22"/>
          <w:szCs w:val="22"/>
          <w:lang w:val="en-GB" w:eastAsia="en-US"/>
        </w:rPr>
        <w:t xml:space="preserve">EU </w:t>
      </w:r>
      <w:r w:rsidR="005D77E6" w:rsidRPr="00637256">
        <w:rPr>
          <w:rFonts w:eastAsia="Calibri"/>
          <w:sz w:val="22"/>
          <w:szCs w:val="22"/>
          <w:lang w:val="en-GB" w:eastAsia="en-US"/>
        </w:rPr>
        <w:t>Financial Regulation.</w:t>
      </w:r>
      <w:r w:rsidR="00FC10D8" w:rsidRPr="00637256">
        <w:rPr>
          <w:rFonts w:eastAsia="Calibri"/>
          <w:sz w:val="22"/>
          <w:szCs w:val="22"/>
          <w:lang w:val="en-GB" w:eastAsia="en-US"/>
        </w:rPr>
        <w:t xml:space="preserve"> </w:t>
      </w:r>
    </w:p>
    <w:p w14:paraId="7FDBAC87" w14:textId="24FC4C24" w:rsidR="005D77E6" w:rsidRPr="00637256" w:rsidRDefault="00D4532B" w:rsidP="005D77E6">
      <w:pPr>
        <w:rPr>
          <w:rFonts w:eastAsia="Calibri"/>
          <w:sz w:val="22"/>
          <w:szCs w:val="22"/>
          <w:lang w:val="en-GB" w:eastAsia="en-US"/>
        </w:rPr>
      </w:pPr>
      <w:r w:rsidRPr="00637256">
        <w:rPr>
          <w:rFonts w:eastAsia="Calibri"/>
          <w:sz w:val="22"/>
          <w:szCs w:val="22"/>
          <w:lang w:val="en-GB" w:eastAsia="en-US"/>
        </w:rPr>
        <w:t xml:space="preserve">• </w:t>
      </w:r>
      <w:r w:rsidR="005D77E6" w:rsidRPr="00637256">
        <w:rPr>
          <w:rFonts w:eastAsia="Calibri"/>
          <w:sz w:val="22"/>
          <w:szCs w:val="22"/>
          <w:lang w:val="en-GB" w:eastAsia="en-US"/>
        </w:rPr>
        <w:t>Members of the public in accordance with the Commission's obligation to publish information on the outcome of the procurement procedure and on the beneficiaries of funds deriving from the budget of the European Union (Article</w:t>
      </w:r>
      <w:r w:rsidR="009511AD" w:rsidRPr="00637256">
        <w:rPr>
          <w:rFonts w:eastAsia="Calibri"/>
          <w:sz w:val="22"/>
          <w:szCs w:val="22"/>
          <w:lang w:val="en-GB" w:eastAsia="en-US"/>
        </w:rPr>
        <w:t>s</w:t>
      </w:r>
      <w:r w:rsidR="005D77E6" w:rsidRPr="00637256">
        <w:rPr>
          <w:rFonts w:eastAsia="Calibri"/>
          <w:sz w:val="22"/>
          <w:szCs w:val="22"/>
          <w:lang w:val="en-GB" w:eastAsia="en-US"/>
        </w:rPr>
        <w:t xml:space="preserve"> 163</w:t>
      </w:r>
      <w:r w:rsidR="00630538" w:rsidRPr="00637256">
        <w:rPr>
          <w:rFonts w:eastAsia="Calibri"/>
          <w:sz w:val="22"/>
          <w:szCs w:val="22"/>
          <w:lang w:val="en-GB" w:eastAsia="en-US"/>
        </w:rPr>
        <w:t>, 189</w:t>
      </w:r>
      <w:r w:rsidR="005D77E6" w:rsidRPr="00637256">
        <w:rPr>
          <w:rFonts w:eastAsia="Calibri"/>
          <w:sz w:val="22"/>
          <w:szCs w:val="22"/>
          <w:lang w:val="en-GB" w:eastAsia="en-US"/>
        </w:rPr>
        <w:t xml:space="preserve"> and Article 38 of the </w:t>
      </w:r>
      <w:r w:rsidR="004A26D0" w:rsidRPr="00637256">
        <w:rPr>
          <w:rFonts w:eastAsia="Calibri"/>
          <w:sz w:val="22"/>
          <w:szCs w:val="22"/>
          <w:lang w:val="en-GB" w:eastAsia="en-US"/>
        </w:rPr>
        <w:t xml:space="preserve">EU </w:t>
      </w:r>
      <w:r w:rsidR="005D77E6" w:rsidRPr="00637256">
        <w:rPr>
          <w:rFonts w:eastAsia="Calibri"/>
          <w:sz w:val="22"/>
          <w:szCs w:val="22"/>
          <w:lang w:val="en-GB" w:eastAsia="en-US"/>
        </w:rPr>
        <w:t xml:space="preserve">Financial Regulation, respectively). The information concerns in particular name and address, the amount awarded and the name of the project or programme. It will be published in supplement S of the Official Journal of the European Union and/or on the website of the Commission. Where personal data is published under Article 38 of the </w:t>
      </w:r>
      <w:r w:rsidR="004A26D0" w:rsidRPr="00637256">
        <w:rPr>
          <w:rFonts w:eastAsia="Calibri"/>
          <w:sz w:val="22"/>
          <w:szCs w:val="22"/>
          <w:lang w:val="en-GB" w:eastAsia="en-US"/>
        </w:rPr>
        <w:t xml:space="preserve">EU </w:t>
      </w:r>
      <w:r w:rsidR="005D77E6" w:rsidRPr="00637256">
        <w:rPr>
          <w:rFonts w:eastAsia="Calibri"/>
          <w:sz w:val="22"/>
          <w:szCs w:val="22"/>
          <w:lang w:val="en-GB" w:eastAsia="en-US"/>
        </w:rPr>
        <w:t>Financial Regulation, the information shall be removed two years after the end of the financial year in which the funds were legally committed. This shall also apply to personal data referring to legal persons whose official name identifies one or more natural persons.</w:t>
      </w:r>
    </w:p>
    <w:p w14:paraId="2976B766" w14:textId="77777777" w:rsidR="005D77E6" w:rsidRPr="00637256" w:rsidRDefault="00D4532B" w:rsidP="005D77E6">
      <w:pPr>
        <w:rPr>
          <w:rFonts w:eastAsia="Calibri"/>
          <w:sz w:val="22"/>
          <w:szCs w:val="22"/>
          <w:lang w:val="en-GB" w:eastAsia="en-US"/>
        </w:rPr>
      </w:pPr>
      <w:r w:rsidRPr="00637256">
        <w:rPr>
          <w:rFonts w:eastAsia="Calibri"/>
          <w:sz w:val="22"/>
          <w:szCs w:val="22"/>
          <w:lang w:val="en-GB" w:eastAsia="en-US"/>
        </w:rPr>
        <w:t xml:space="preserve">• </w:t>
      </w:r>
      <w:r w:rsidR="005D77E6" w:rsidRPr="00637256">
        <w:rPr>
          <w:rFonts w:eastAsia="Calibri"/>
          <w:sz w:val="22"/>
          <w:szCs w:val="22"/>
          <w:lang w:val="en-GB" w:eastAsia="en-US"/>
        </w:rPr>
        <w:t>Staff of the contractor or beneficiary who need to have access to the data strictly for performance, management and monitoring of the contract or grant.</w:t>
      </w:r>
    </w:p>
    <w:p w14:paraId="4A667D60" w14:textId="1188D818" w:rsidR="003818F8" w:rsidRPr="00637256" w:rsidRDefault="00010498" w:rsidP="005D56C7">
      <w:pPr>
        <w:rPr>
          <w:rFonts w:eastAsia="Calibri"/>
          <w:sz w:val="22"/>
          <w:szCs w:val="22"/>
          <w:lang w:val="en-GB" w:eastAsia="en-US"/>
        </w:rPr>
      </w:pPr>
      <w:r w:rsidRPr="00637256">
        <w:rPr>
          <w:rFonts w:eastAsia="Calibri"/>
          <w:sz w:val="22"/>
          <w:szCs w:val="22"/>
          <w:lang w:val="en-GB" w:eastAsia="en-US"/>
        </w:rPr>
        <w:t>•</w:t>
      </w:r>
      <w:r w:rsidR="003818F8" w:rsidRPr="00637256">
        <w:rPr>
          <w:rFonts w:eastAsia="Calibri"/>
          <w:sz w:val="22"/>
          <w:szCs w:val="22"/>
          <w:lang w:val="en-GB" w:eastAsia="en-US"/>
        </w:rPr>
        <w:t xml:space="preserve"> </w:t>
      </w:r>
      <w:r w:rsidR="003818F8" w:rsidRPr="00AE09CA">
        <w:rPr>
          <w:rFonts w:eastAsia="Calibri"/>
          <w:sz w:val="22"/>
          <w:szCs w:val="22"/>
          <w:highlight w:val="yellow"/>
          <w:lang w:val="en-GB" w:eastAsia="en-US"/>
        </w:rPr>
        <w:t xml:space="preserve">For DG </w:t>
      </w:r>
      <w:r w:rsidR="003818F8" w:rsidRPr="0043551C">
        <w:rPr>
          <w:rFonts w:eastAsia="Calibri"/>
          <w:sz w:val="22"/>
          <w:szCs w:val="22"/>
          <w:highlight w:val="yellow"/>
          <w:lang w:val="en-GB" w:eastAsia="en-US"/>
        </w:rPr>
        <w:t>NEAR</w:t>
      </w:r>
      <w:r w:rsidR="0043551C" w:rsidRPr="00F8704C">
        <w:rPr>
          <w:rFonts w:eastAsia="Calibri"/>
          <w:sz w:val="22"/>
          <w:szCs w:val="22"/>
          <w:highlight w:val="yellow"/>
          <w:lang w:val="en-GB" w:eastAsia="en-US"/>
        </w:rPr>
        <w:t xml:space="preserve"> please add</w:t>
      </w:r>
      <w:r w:rsidR="00805F43" w:rsidRPr="00637256">
        <w:rPr>
          <w:rFonts w:eastAsia="Calibri"/>
          <w:sz w:val="22"/>
          <w:szCs w:val="22"/>
          <w:lang w:val="en-GB" w:eastAsia="en-US"/>
        </w:rPr>
        <w:t xml:space="preserve"> </w:t>
      </w:r>
      <w:r w:rsidR="00AE09CA">
        <w:rPr>
          <w:rFonts w:eastAsia="Calibri"/>
          <w:sz w:val="22"/>
          <w:szCs w:val="22"/>
          <w:lang w:val="en-GB" w:eastAsia="en-US"/>
        </w:rPr>
        <w:t>[</w:t>
      </w:r>
      <w:r w:rsidR="003818F8" w:rsidRPr="00AE09CA">
        <w:rPr>
          <w:rFonts w:eastAsia="Calibri"/>
          <w:sz w:val="22"/>
          <w:szCs w:val="22"/>
          <w:highlight w:val="lightGray"/>
          <w:lang w:val="en-GB" w:eastAsia="en-US"/>
        </w:rPr>
        <w:t>Representatives of the member states’ managing authorities and their bodies bound by the confidentiality obligations deriving from the General Data Protection Regulation (‘GDPR’) Regulation (EU) 2016/679.</w:t>
      </w:r>
      <w:r w:rsidR="00AE09CA">
        <w:rPr>
          <w:rFonts w:eastAsia="Calibri"/>
          <w:sz w:val="22"/>
          <w:szCs w:val="22"/>
          <w:lang w:val="en-GB" w:eastAsia="en-US"/>
        </w:rPr>
        <w:t>]</w:t>
      </w:r>
    </w:p>
    <w:p w14:paraId="58E4A3FD" w14:textId="77777777" w:rsidR="005D77E6" w:rsidRPr="00637256" w:rsidRDefault="005D77E6" w:rsidP="006B6CEE">
      <w:pPr>
        <w:rPr>
          <w:rFonts w:eastAsia="Calibri"/>
          <w:i/>
          <w:sz w:val="22"/>
          <w:szCs w:val="22"/>
          <w:u w:val="single"/>
          <w:lang w:val="en-GB" w:eastAsia="en-US"/>
        </w:rPr>
      </w:pPr>
      <w:r w:rsidRPr="00637256">
        <w:rPr>
          <w:rFonts w:eastAsia="Calibri"/>
          <w:i/>
          <w:sz w:val="22"/>
          <w:szCs w:val="22"/>
          <w:u w:val="single"/>
          <w:lang w:val="en-GB" w:eastAsia="en-US"/>
        </w:rPr>
        <w:t>Transfer of personal data to third countries:</w:t>
      </w:r>
    </w:p>
    <w:p w14:paraId="54037D5A" w14:textId="77777777" w:rsidR="00F17665" w:rsidRPr="00637256" w:rsidRDefault="00F767FD" w:rsidP="00F767FD">
      <w:pPr>
        <w:spacing w:after="0"/>
        <w:rPr>
          <w:rFonts w:eastAsia="Calibri"/>
          <w:sz w:val="22"/>
          <w:szCs w:val="22"/>
          <w:lang w:val="en-GB" w:eastAsia="en-US"/>
        </w:rPr>
      </w:pPr>
      <w:r w:rsidRPr="00637256">
        <w:rPr>
          <w:rFonts w:eastAsia="Calibri"/>
          <w:sz w:val="22"/>
          <w:szCs w:val="22"/>
          <w:lang w:val="en-GB" w:eastAsia="en-US"/>
        </w:rPr>
        <w:t xml:space="preserve">Transfers of personal data outside of the EU or the EEA are likely to occur in the context of award procedures/contract implementation under direct management, for the Commission to carry out its tasks and to comply with its obligations under the applicable legislation and the financing agreements with the partner countries. </w:t>
      </w:r>
    </w:p>
    <w:p w14:paraId="0F5D797A" w14:textId="77777777" w:rsidR="00F17665" w:rsidRPr="00637256" w:rsidRDefault="00F17665" w:rsidP="00F767FD">
      <w:pPr>
        <w:spacing w:after="0"/>
        <w:rPr>
          <w:rFonts w:eastAsia="Calibri"/>
          <w:sz w:val="22"/>
          <w:szCs w:val="22"/>
          <w:lang w:val="en-GB" w:eastAsia="en-US"/>
        </w:rPr>
      </w:pPr>
    </w:p>
    <w:p w14:paraId="579F6A25" w14:textId="362F806E" w:rsidR="00F17665" w:rsidRDefault="00F767FD" w:rsidP="002B17DC">
      <w:pPr>
        <w:spacing w:after="0"/>
        <w:rPr>
          <w:rFonts w:eastAsia="Calibri"/>
          <w:sz w:val="22"/>
          <w:szCs w:val="22"/>
          <w:lang w:val="en-GB" w:eastAsia="en-US"/>
        </w:rPr>
      </w:pPr>
      <w:r w:rsidRPr="00637256">
        <w:rPr>
          <w:rFonts w:eastAsia="Calibri"/>
          <w:sz w:val="22"/>
          <w:szCs w:val="22"/>
          <w:lang w:val="en-GB" w:eastAsia="en-US"/>
        </w:rPr>
        <w:t>Potential transfers of personal data to the partner countries</w:t>
      </w:r>
      <w:r w:rsidR="0003020D" w:rsidRPr="00637256">
        <w:rPr>
          <w:rFonts w:eastAsia="Calibri"/>
          <w:sz w:val="22"/>
          <w:szCs w:val="22"/>
          <w:lang w:val="en-GB" w:eastAsia="en-US"/>
        </w:rPr>
        <w:t xml:space="preserve"> and/or non-EU based contractors/beneficiaries </w:t>
      </w:r>
      <w:r w:rsidRPr="00637256">
        <w:rPr>
          <w:rFonts w:eastAsia="Calibri"/>
          <w:sz w:val="22"/>
          <w:szCs w:val="22"/>
          <w:lang w:val="en-GB" w:eastAsia="en-US"/>
        </w:rPr>
        <w:t>take place on the basis of derogations set out in Article 50(1</w:t>
      </w:r>
      <w:proofErr w:type="gramStart"/>
      <w:r w:rsidR="00662BAE" w:rsidRPr="00637256">
        <w:rPr>
          <w:rFonts w:eastAsia="Calibri"/>
          <w:sz w:val="22"/>
          <w:szCs w:val="22"/>
          <w:lang w:val="en-GB" w:eastAsia="en-US"/>
        </w:rPr>
        <w:t>)</w:t>
      </w:r>
      <w:r w:rsidRPr="00637256">
        <w:rPr>
          <w:rFonts w:eastAsia="Calibri"/>
          <w:sz w:val="22"/>
          <w:szCs w:val="22"/>
          <w:lang w:val="en-GB" w:eastAsia="en-US"/>
        </w:rPr>
        <w:t>(</w:t>
      </w:r>
      <w:proofErr w:type="gramEnd"/>
      <w:r w:rsidRPr="00637256">
        <w:rPr>
          <w:rFonts w:eastAsia="Calibri"/>
          <w:sz w:val="22"/>
          <w:szCs w:val="22"/>
          <w:lang w:val="en-GB" w:eastAsia="en-US"/>
        </w:rPr>
        <w:t xml:space="preserve">d) of </w:t>
      </w:r>
      <w:r w:rsidR="00662BAE" w:rsidRPr="00637256">
        <w:rPr>
          <w:rFonts w:eastAsia="Calibri"/>
          <w:sz w:val="22"/>
          <w:szCs w:val="22"/>
          <w:lang w:val="en-GB" w:eastAsia="en-US"/>
        </w:rPr>
        <w:t>Regulation (EU) 2018/1725</w:t>
      </w:r>
      <w:r w:rsidR="002B17DC" w:rsidRPr="00637256">
        <w:rPr>
          <w:rFonts w:eastAsia="Calibri"/>
          <w:sz w:val="22"/>
          <w:szCs w:val="22"/>
          <w:lang w:val="en-GB" w:eastAsia="en-US"/>
        </w:rPr>
        <w:t xml:space="preserve"> for impo</w:t>
      </w:r>
      <w:r w:rsidR="00F8704C">
        <w:rPr>
          <w:rFonts w:eastAsia="Calibri"/>
          <w:sz w:val="22"/>
          <w:szCs w:val="22"/>
          <w:lang w:val="en-GB" w:eastAsia="en-US"/>
        </w:rPr>
        <w:t>rtant reasons of public interest.</w:t>
      </w:r>
    </w:p>
    <w:p w14:paraId="529F8430" w14:textId="77777777" w:rsidR="00F8704C" w:rsidRPr="00637256" w:rsidRDefault="00F8704C" w:rsidP="002B17DC">
      <w:pPr>
        <w:spacing w:after="0"/>
        <w:rPr>
          <w:rFonts w:eastAsia="Calibri"/>
          <w:sz w:val="22"/>
          <w:szCs w:val="22"/>
          <w:lang w:val="en-GB" w:eastAsia="en-US"/>
        </w:rPr>
      </w:pPr>
    </w:p>
    <w:p w14:paraId="12153B84" w14:textId="693D6A22" w:rsidR="00F767FD" w:rsidRPr="00637256" w:rsidRDefault="00F767FD" w:rsidP="00F767FD">
      <w:pPr>
        <w:spacing w:after="0"/>
        <w:rPr>
          <w:rFonts w:eastAsia="Calibri"/>
          <w:sz w:val="22"/>
          <w:szCs w:val="22"/>
          <w:lang w:val="en-GB" w:eastAsia="en-US"/>
        </w:rPr>
      </w:pPr>
      <w:r w:rsidRPr="00637256">
        <w:rPr>
          <w:rFonts w:eastAsia="Calibri"/>
          <w:sz w:val="22"/>
          <w:szCs w:val="22"/>
          <w:lang w:val="en-GB" w:eastAsia="en-US"/>
        </w:rPr>
        <w:t xml:space="preserve">Transfers might occur to countries with which the Commission has signed a financing agreement to describe the </w:t>
      </w:r>
      <w:r w:rsidRPr="00637256">
        <w:rPr>
          <w:rFonts w:eastAsia="Calibri"/>
          <w:color w:val="000000" w:themeColor="text1"/>
          <w:sz w:val="22"/>
          <w:szCs w:val="22"/>
          <w:lang w:val="en-GB" w:eastAsia="en-US"/>
        </w:rPr>
        <w:t xml:space="preserve">implementation of actions on the sovereign territory of the partner country and to ensure ownership of </w:t>
      </w:r>
      <w:r w:rsidR="00FC5EE5" w:rsidRPr="00637256">
        <w:rPr>
          <w:rFonts w:eastAsia="Calibri"/>
          <w:color w:val="000000" w:themeColor="text1"/>
          <w:sz w:val="22"/>
          <w:szCs w:val="22"/>
          <w:lang w:val="en-GB" w:eastAsia="en-US"/>
        </w:rPr>
        <w:t xml:space="preserve">international cooperation and </w:t>
      </w:r>
      <w:r w:rsidRPr="00637256">
        <w:rPr>
          <w:rFonts w:eastAsia="Calibri"/>
          <w:color w:val="000000" w:themeColor="text1"/>
          <w:sz w:val="22"/>
          <w:szCs w:val="22"/>
          <w:lang w:val="en-GB" w:eastAsia="en-US"/>
        </w:rPr>
        <w:t xml:space="preserve">development aid results. </w:t>
      </w:r>
    </w:p>
    <w:p w14:paraId="5398E09D" w14:textId="77777777" w:rsidR="00D4532B" w:rsidRPr="00637256" w:rsidRDefault="00D4532B" w:rsidP="00F767FD">
      <w:pPr>
        <w:spacing w:after="0"/>
        <w:rPr>
          <w:rFonts w:eastAsia="Calibri"/>
          <w:sz w:val="22"/>
          <w:szCs w:val="22"/>
          <w:lang w:val="en-GB" w:eastAsia="en-US"/>
        </w:rPr>
      </w:pPr>
    </w:p>
    <w:p w14:paraId="2AEDC093" w14:textId="77777777" w:rsidR="00D4532B" w:rsidRPr="00637256" w:rsidRDefault="00D4532B" w:rsidP="00D4532B">
      <w:pPr>
        <w:rPr>
          <w:rFonts w:eastAsia="Calibri"/>
          <w:sz w:val="22"/>
          <w:szCs w:val="22"/>
          <w:lang w:val="en-GB" w:eastAsia="en-US"/>
        </w:rPr>
      </w:pPr>
      <w:r w:rsidRPr="00637256">
        <w:rPr>
          <w:rFonts w:eastAsia="Calibri"/>
          <w:sz w:val="22"/>
          <w:szCs w:val="22"/>
          <w:lang w:val="en-GB" w:eastAsia="en-US"/>
        </w:rPr>
        <w:t>In particular, the controller might transfer your personal data to the following recipients in a third country in accordance with Regulation (EU) 2018/1725:</w:t>
      </w:r>
    </w:p>
    <w:p w14:paraId="7E01A390" w14:textId="77777777" w:rsidR="0003020D" w:rsidRPr="00637256" w:rsidRDefault="0003020D" w:rsidP="00D4532B">
      <w:pPr>
        <w:rPr>
          <w:rFonts w:eastAsia="Calibri"/>
          <w:i/>
          <w:color w:val="FF0000"/>
          <w:sz w:val="22"/>
          <w:szCs w:val="22"/>
          <w:lang w:val="en-GB" w:eastAsia="en-US"/>
        </w:rPr>
      </w:pPr>
      <w:r w:rsidRPr="00637256">
        <w:rPr>
          <w:rFonts w:eastAsia="Calibri"/>
          <w:sz w:val="22"/>
          <w:szCs w:val="22"/>
          <w:lang w:val="en-GB" w:eastAsia="en-US"/>
        </w:rPr>
        <w:t>• Non-EU based contractors/beneficiaries in the context of contract implementation.</w:t>
      </w:r>
    </w:p>
    <w:p w14:paraId="1FECB530" w14:textId="4D95253E" w:rsidR="00D4532B" w:rsidRPr="00637256" w:rsidRDefault="00D4532B" w:rsidP="00D4532B">
      <w:pPr>
        <w:rPr>
          <w:rFonts w:eastAsia="Calibri"/>
          <w:sz w:val="22"/>
          <w:szCs w:val="22"/>
          <w:lang w:val="en-GB" w:eastAsia="en-US"/>
        </w:rPr>
      </w:pPr>
      <w:r w:rsidRPr="00637256">
        <w:rPr>
          <w:rFonts w:eastAsia="Calibri"/>
          <w:sz w:val="22"/>
          <w:szCs w:val="22"/>
          <w:lang w:val="en-GB" w:eastAsia="en-US"/>
        </w:rPr>
        <w:t xml:space="preserve">• Authorities of the partner country acting as the interlocutors of the Commission staff and/or </w:t>
      </w:r>
      <w:r w:rsidRPr="00637256">
        <w:rPr>
          <w:rFonts w:eastAsia="Calibri"/>
          <w:i/>
          <w:sz w:val="22"/>
          <w:szCs w:val="22"/>
          <w:lang w:val="en-GB" w:eastAsia="en-US"/>
        </w:rPr>
        <w:t xml:space="preserve">intra </w:t>
      </w:r>
      <w:proofErr w:type="spellStart"/>
      <w:r w:rsidRPr="00637256">
        <w:rPr>
          <w:rFonts w:eastAsia="Calibri"/>
          <w:i/>
          <w:sz w:val="22"/>
          <w:szCs w:val="22"/>
          <w:lang w:val="en-GB" w:eastAsia="en-US"/>
        </w:rPr>
        <w:t>muros</w:t>
      </w:r>
      <w:proofErr w:type="spellEnd"/>
      <w:r w:rsidRPr="00637256">
        <w:rPr>
          <w:rFonts w:eastAsia="Calibri"/>
          <w:sz w:val="22"/>
          <w:szCs w:val="22"/>
          <w:lang w:val="en-GB" w:eastAsia="en-US"/>
        </w:rPr>
        <w:t xml:space="preserve"> service providers in both HQ and EUDEL involved in procurement/grant award procedures and/or contract implementation.</w:t>
      </w:r>
    </w:p>
    <w:p w14:paraId="56EFBF3D" w14:textId="32C95FCE" w:rsidR="00D4532B" w:rsidRPr="00637256" w:rsidRDefault="00D4532B" w:rsidP="00D4532B">
      <w:pPr>
        <w:rPr>
          <w:rFonts w:eastAsia="Calibri"/>
          <w:sz w:val="22"/>
          <w:szCs w:val="22"/>
          <w:lang w:val="en-GB" w:eastAsia="en-US"/>
        </w:rPr>
      </w:pPr>
      <w:r w:rsidRPr="00637256">
        <w:rPr>
          <w:rFonts w:eastAsia="Calibri"/>
          <w:sz w:val="22"/>
          <w:szCs w:val="22"/>
          <w:lang w:val="en-GB" w:eastAsia="en-US"/>
        </w:rPr>
        <w:t xml:space="preserve">• Authorities of the partner country (i.e. to representatives of those countries as observers in the evaluation committees): A representative of the partner country may participate, as appropriate, either as a voting evaluator or as a non-voting observer pursuant to Article 150(2) of the </w:t>
      </w:r>
      <w:r w:rsidR="004A26D0" w:rsidRPr="00637256">
        <w:rPr>
          <w:rFonts w:eastAsia="Calibri"/>
          <w:sz w:val="22"/>
          <w:szCs w:val="22"/>
          <w:lang w:val="en-GB" w:eastAsia="en-US"/>
        </w:rPr>
        <w:t xml:space="preserve">EU </w:t>
      </w:r>
      <w:r w:rsidRPr="00637256">
        <w:rPr>
          <w:rFonts w:eastAsia="Calibri"/>
          <w:sz w:val="22"/>
          <w:szCs w:val="22"/>
          <w:lang w:val="en-GB" w:eastAsia="en-US"/>
        </w:rPr>
        <w:t>Financial Regulation.</w:t>
      </w:r>
    </w:p>
    <w:p w14:paraId="468867F8" w14:textId="42895FA2" w:rsidR="00D4532B" w:rsidRPr="00637256" w:rsidRDefault="00D4532B" w:rsidP="00D4532B">
      <w:pPr>
        <w:rPr>
          <w:rFonts w:eastAsia="Calibri"/>
          <w:sz w:val="22"/>
          <w:szCs w:val="22"/>
          <w:lang w:val="en-GB" w:eastAsia="en-US"/>
        </w:rPr>
      </w:pPr>
      <w:r w:rsidRPr="00637256">
        <w:rPr>
          <w:rFonts w:eastAsia="Calibri"/>
          <w:sz w:val="22"/>
          <w:szCs w:val="22"/>
          <w:lang w:val="en-GB" w:eastAsia="en-US"/>
        </w:rPr>
        <w:t>• Authorities of the partner country, when a representative of those countries does not participate in the evaluation committee, for the partner country to exercise its rights and obligations under the financing agreement (Articles 20 and 21 of the financing agreement general conditions). The Commission, shares the personal data of the successful tender/proposed expert (and in case the procedure fails, of the second-best tenderer) with the partner country for the latter to exercise its rights and obligations under the financing agreement. The Commission acting as a facilitator transmits the data to the partner country allowing it to proceed with the issuing of visas, application of tax-exemptions and permitting of import of personal and household effects during the implementation of the contract.</w:t>
      </w:r>
    </w:p>
    <w:p w14:paraId="7A0962A4" w14:textId="79413D64" w:rsidR="00D4532B" w:rsidRPr="00637256" w:rsidRDefault="00D4532B" w:rsidP="00D4532B">
      <w:pPr>
        <w:rPr>
          <w:rFonts w:eastAsia="Calibri"/>
          <w:sz w:val="22"/>
          <w:szCs w:val="22"/>
          <w:lang w:val="en-GB" w:eastAsia="en-US"/>
        </w:rPr>
      </w:pPr>
      <w:r w:rsidRPr="00637256">
        <w:rPr>
          <w:rFonts w:eastAsia="Calibri"/>
          <w:sz w:val="22"/>
          <w:szCs w:val="22"/>
          <w:lang w:val="en-GB" w:eastAsia="en-US"/>
        </w:rPr>
        <w:t>• Authorities of the partner country when the Commission notifies the latter of the replacement of sub-contractors/key experts proposed by the contractor during contract implementation;</w:t>
      </w:r>
    </w:p>
    <w:p w14:paraId="551A2DB4" w14:textId="6D215131" w:rsidR="00F767FD" w:rsidRPr="00637256" w:rsidRDefault="00D4532B" w:rsidP="00D4532B">
      <w:pPr>
        <w:rPr>
          <w:rFonts w:eastAsia="Calibri"/>
          <w:sz w:val="22"/>
          <w:szCs w:val="22"/>
          <w:lang w:val="en-GB" w:eastAsia="en-US"/>
        </w:rPr>
      </w:pPr>
      <w:r w:rsidRPr="00637256">
        <w:rPr>
          <w:rFonts w:eastAsia="Calibri"/>
          <w:sz w:val="22"/>
          <w:szCs w:val="22"/>
          <w:lang w:val="en-GB" w:eastAsia="en-US"/>
        </w:rPr>
        <w:t xml:space="preserve">• </w:t>
      </w:r>
      <w:r w:rsidR="00630538" w:rsidRPr="00637256">
        <w:rPr>
          <w:rFonts w:eastAsia="Calibri"/>
          <w:sz w:val="22"/>
          <w:szCs w:val="22"/>
          <w:lang w:val="en-GB" w:eastAsia="en-US"/>
        </w:rPr>
        <w:t>A</w:t>
      </w:r>
      <w:r w:rsidRPr="00637256">
        <w:rPr>
          <w:rFonts w:eastAsia="Calibri"/>
          <w:sz w:val="22"/>
          <w:szCs w:val="22"/>
          <w:lang w:val="en-GB" w:eastAsia="en-US"/>
        </w:rPr>
        <w:t xml:space="preserve">ssessors in grant evaluations and </w:t>
      </w:r>
      <w:r w:rsidR="00630538" w:rsidRPr="00637256">
        <w:rPr>
          <w:rFonts w:eastAsia="Calibri"/>
          <w:sz w:val="22"/>
          <w:szCs w:val="22"/>
          <w:lang w:val="en-GB" w:eastAsia="en-US"/>
        </w:rPr>
        <w:t xml:space="preserve">external experts </w:t>
      </w:r>
      <w:r w:rsidRPr="00637256">
        <w:rPr>
          <w:rFonts w:eastAsia="Calibri"/>
          <w:sz w:val="22"/>
          <w:szCs w:val="22"/>
          <w:lang w:val="en-GB" w:eastAsia="en-US"/>
        </w:rPr>
        <w:t>in tender evaluation</w:t>
      </w:r>
      <w:r w:rsidR="00630538" w:rsidRPr="00637256">
        <w:rPr>
          <w:rFonts w:eastAsia="Calibri"/>
          <w:sz w:val="22"/>
          <w:szCs w:val="22"/>
          <w:lang w:val="en-GB" w:eastAsia="en-US"/>
        </w:rPr>
        <w:t>s</w:t>
      </w:r>
      <w:r w:rsidR="0084106C" w:rsidRPr="00637256">
        <w:rPr>
          <w:rFonts w:eastAsia="Calibri"/>
          <w:sz w:val="22"/>
          <w:szCs w:val="22"/>
          <w:lang w:val="en-GB" w:eastAsia="en-US"/>
        </w:rPr>
        <w:t xml:space="preserve"> </w:t>
      </w:r>
      <w:r w:rsidRPr="00637256">
        <w:rPr>
          <w:rFonts w:eastAsia="Calibri"/>
          <w:sz w:val="22"/>
          <w:szCs w:val="22"/>
          <w:lang w:val="en-GB" w:eastAsia="en-US"/>
        </w:rPr>
        <w:t>(who are not representatives of the partner countries)</w:t>
      </w:r>
      <w:r w:rsidR="00630538" w:rsidRPr="00637256">
        <w:rPr>
          <w:rFonts w:eastAsia="Calibri"/>
          <w:sz w:val="22"/>
          <w:szCs w:val="22"/>
          <w:lang w:val="en-GB" w:eastAsia="en-US"/>
        </w:rPr>
        <w:t xml:space="preserve"> participating to committees </w:t>
      </w:r>
      <w:r w:rsidRPr="00637256">
        <w:rPr>
          <w:rFonts w:eastAsia="Calibri"/>
          <w:sz w:val="22"/>
          <w:szCs w:val="22"/>
          <w:lang w:val="en-GB" w:eastAsia="en-US"/>
        </w:rPr>
        <w:t xml:space="preserve">pursuant to Articles 150(3) and 237 of the </w:t>
      </w:r>
      <w:r w:rsidR="004A26D0" w:rsidRPr="00637256">
        <w:rPr>
          <w:rFonts w:eastAsia="Calibri"/>
          <w:sz w:val="22"/>
          <w:szCs w:val="22"/>
          <w:lang w:val="en-GB" w:eastAsia="en-US"/>
        </w:rPr>
        <w:t xml:space="preserve">EU </w:t>
      </w:r>
      <w:r w:rsidRPr="00637256">
        <w:rPr>
          <w:rFonts w:eastAsia="Calibri"/>
          <w:sz w:val="22"/>
          <w:szCs w:val="22"/>
          <w:lang w:val="en-GB" w:eastAsia="en-US"/>
        </w:rPr>
        <w:t xml:space="preserve">Financial Regulation. External experts </w:t>
      </w:r>
      <w:r w:rsidR="00630538" w:rsidRPr="00637256">
        <w:rPr>
          <w:rFonts w:eastAsia="Calibri"/>
          <w:sz w:val="22"/>
          <w:szCs w:val="22"/>
          <w:lang w:val="en-GB" w:eastAsia="en-US"/>
        </w:rPr>
        <w:t xml:space="preserve">and assessors </w:t>
      </w:r>
      <w:r w:rsidRPr="00637256">
        <w:rPr>
          <w:rFonts w:eastAsia="Calibri"/>
          <w:sz w:val="22"/>
          <w:szCs w:val="22"/>
          <w:lang w:val="en-GB" w:eastAsia="en-US"/>
        </w:rPr>
        <w:t>are selected using the procedures for service contracts and are bound by data protection clauses contained in the contracts. They do not represent the partner country.</w:t>
      </w:r>
    </w:p>
    <w:p w14:paraId="6858439B" w14:textId="77777777" w:rsidR="00D4532B" w:rsidRPr="00637256" w:rsidRDefault="00D4532B" w:rsidP="00D4532B">
      <w:pPr>
        <w:rPr>
          <w:rFonts w:eastAsia="Calibri"/>
          <w:sz w:val="22"/>
          <w:szCs w:val="22"/>
          <w:lang w:val="en-GB" w:eastAsia="en-US"/>
        </w:rPr>
      </w:pPr>
      <w:r w:rsidRPr="00637256">
        <w:rPr>
          <w:rFonts w:eastAsia="Calibri"/>
          <w:sz w:val="22"/>
          <w:szCs w:val="22"/>
          <w:lang w:val="en-GB" w:eastAsia="en-US"/>
        </w:rPr>
        <w:t xml:space="preserve">All persons involved in an evaluation process including members of the evaluation committee, whether voting or non – voting and any observers sign a declaration of impartiality and confidentiality, which contains a clause on data protection. </w:t>
      </w:r>
    </w:p>
    <w:p w14:paraId="1D267CC2" w14:textId="48BB8996" w:rsidR="00D4532B" w:rsidRPr="00637256" w:rsidRDefault="00D4532B" w:rsidP="00D4532B">
      <w:pPr>
        <w:rPr>
          <w:rFonts w:eastAsia="Calibri"/>
          <w:sz w:val="22"/>
          <w:szCs w:val="22"/>
          <w:lang w:val="en-GB" w:eastAsia="en-US"/>
        </w:rPr>
      </w:pPr>
      <w:r w:rsidRPr="00637256">
        <w:rPr>
          <w:rFonts w:eastAsia="Calibri"/>
          <w:sz w:val="22"/>
          <w:szCs w:val="22"/>
          <w:lang w:val="en-GB" w:eastAsia="en-US"/>
        </w:rPr>
        <w:t xml:space="preserve">The partner country is </w:t>
      </w:r>
      <w:r w:rsidRPr="00637256">
        <w:rPr>
          <w:rFonts w:eastAsia="Calibri"/>
          <w:color w:val="000000" w:themeColor="text1"/>
          <w:sz w:val="22"/>
          <w:szCs w:val="22"/>
          <w:lang w:val="en-GB" w:eastAsia="en-US"/>
        </w:rPr>
        <w:t>bound by clauses on the protection of personal data and by an obligation of confidentiality pursuant to Articles 1(7) and 22 of the financing agreement general conditions</w:t>
      </w:r>
      <w:r w:rsidR="005A3CC8" w:rsidRPr="00637256">
        <w:rPr>
          <w:rFonts w:eastAsia="Calibri"/>
          <w:color w:val="000000" w:themeColor="text1"/>
          <w:sz w:val="22"/>
          <w:szCs w:val="22"/>
          <w:lang w:val="en-GB" w:eastAsia="en-US"/>
        </w:rPr>
        <w:t>, Articles 3(3) and 7 of the simplified financing agreement,</w:t>
      </w:r>
      <w:r w:rsidR="005D56C7" w:rsidRPr="00637256">
        <w:rPr>
          <w:color w:val="000000" w:themeColor="text1"/>
          <w:sz w:val="22"/>
          <w:szCs w:val="22"/>
          <w:lang w:val="en-GB"/>
        </w:rPr>
        <w:t xml:space="preserve"> </w:t>
      </w:r>
      <w:r w:rsidR="005724BD" w:rsidRPr="00637256">
        <w:rPr>
          <w:rFonts w:eastAsia="Calibri"/>
          <w:color w:val="000000" w:themeColor="text1"/>
          <w:sz w:val="22"/>
          <w:szCs w:val="22"/>
          <w:lang w:val="en-GB" w:eastAsia="en-US"/>
        </w:rPr>
        <w:t xml:space="preserve">and </w:t>
      </w:r>
      <w:r w:rsidR="005724BD" w:rsidRPr="00637256">
        <w:rPr>
          <w:rFonts w:eastAsia="Calibri"/>
          <w:sz w:val="22"/>
          <w:szCs w:val="22"/>
          <w:lang w:val="en-GB" w:eastAsia="en-US"/>
        </w:rPr>
        <w:t>framework agreement (for beneficiary countries).</w:t>
      </w:r>
    </w:p>
    <w:p w14:paraId="1221AAD1" w14:textId="77777777" w:rsidR="005724BD" w:rsidRPr="00637256" w:rsidRDefault="005724BD" w:rsidP="005724BD">
      <w:pPr>
        <w:spacing w:after="0"/>
        <w:rPr>
          <w:rFonts w:eastAsia="Calibri"/>
          <w:sz w:val="22"/>
          <w:szCs w:val="22"/>
          <w:lang w:val="en-GB" w:eastAsia="en-US"/>
        </w:rPr>
      </w:pPr>
      <w:r w:rsidRPr="00637256">
        <w:rPr>
          <w:rFonts w:eastAsia="Calibri"/>
          <w:sz w:val="22"/>
          <w:szCs w:val="22"/>
          <w:lang w:val="en-GB" w:eastAsia="en-US"/>
        </w:rPr>
        <w:t xml:space="preserve">When the action is implemented in direct management, the types of data likely to be transferred include in particular: </w:t>
      </w:r>
    </w:p>
    <w:p w14:paraId="30A2DCD5" w14:textId="77777777" w:rsidR="005724BD" w:rsidRPr="00637256" w:rsidRDefault="005724BD" w:rsidP="005724BD">
      <w:pPr>
        <w:spacing w:after="0"/>
        <w:rPr>
          <w:rFonts w:eastAsia="Calibri"/>
          <w:sz w:val="22"/>
          <w:szCs w:val="22"/>
          <w:lang w:val="en-GB" w:eastAsia="en-US"/>
        </w:rPr>
      </w:pPr>
    </w:p>
    <w:p w14:paraId="72FEA71A" w14:textId="16F0CA34" w:rsidR="005724BD" w:rsidRPr="00637256" w:rsidRDefault="005724BD" w:rsidP="005724BD">
      <w:pPr>
        <w:numPr>
          <w:ilvl w:val="0"/>
          <w:numId w:val="37"/>
        </w:numPr>
        <w:spacing w:after="0"/>
        <w:rPr>
          <w:rFonts w:eastAsia="Calibri"/>
          <w:sz w:val="22"/>
          <w:szCs w:val="22"/>
          <w:lang w:val="en-GB" w:eastAsia="en-US"/>
        </w:rPr>
      </w:pPr>
      <w:r w:rsidRPr="00637256">
        <w:rPr>
          <w:rFonts w:eastAsia="Calibri"/>
          <w:sz w:val="22"/>
          <w:szCs w:val="22"/>
          <w:lang w:val="en-GB" w:eastAsia="en-US"/>
        </w:rPr>
        <w:t xml:space="preserve">Personal data of members of the staff of </w:t>
      </w:r>
      <w:r w:rsidR="008E6EF6" w:rsidRPr="00637256">
        <w:rPr>
          <w:rFonts w:eastAsia="Calibri"/>
          <w:sz w:val="22"/>
          <w:szCs w:val="22"/>
          <w:lang w:val="en-GB" w:eastAsia="en-US"/>
        </w:rPr>
        <w:t>the Commission</w:t>
      </w:r>
      <w:r w:rsidRPr="00637256">
        <w:rPr>
          <w:rFonts w:eastAsia="Calibri"/>
          <w:sz w:val="22"/>
          <w:szCs w:val="22"/>
          <w:lang w:val="en-GB" w:eastAsia="en-US"/>
        </w:rPr>
        <w:t xml:space="preserve"> in both HQ and EUDEL and/or any service provider (including </w:t>
      </w:r>
      <w:r w:rsidRPr="00637256">
        <w:rPr>
          <w:rFonts w:eastAsia="Calibri"/>
          <w:i/>
          <w:sz w:val="22"/>
          <w:szCs w:val="22"/>
          <w:lang w:val="en-GB" w:eastAsia="en-US"/>
        </w:rPr>
        <w:t xml:space="preserve">intra </w:t>
      </w:r>
      <w:proofErr w:type="spellStart"/>
      <w:r w:rsidRPr="00637256">
        <w:rPr>
          <w:rFonts w:eastAsia="Calibri"/>
          <w:i/>
          <w:sz w:val="22"/>
          <w:szCs w:val="22"/>
          <w:lang w:val="en-GB" w:eastAsia="en-US"/>
        </w:rPr>
        <w:t>muros</w:t>
      </w:r>
      <w:proofErr w:type="spellEnd"/>
      <w:r w:rsidRPr="00637256">
        <w:rPr>
          <w:rFonts w:eastAsia="Calibri"/>
          <w:sz w:val="22"/>
          <w:szCs w:val="22"/>
          <w:lang w:val="en-GB" w:eastAsia="en-US"/>
        </w:rPr>
        <w:t xml:space="preserve">) of </w:t>
      </w:r>
      <w:r w:rsidR="008E6EF6" w:rsidRPr="00637256">
        <w:rPr>
          <w:rFonts w:eastAsia="Calibri"/>
          <w:sz w:val="22"/>
          <w:szCs w:val="22"/>
          <w:lang w:val="en-GB" w:eastAsia="en-US"/>
        </w:rPr>
        <w:t>the Commission</w:t>
      </w:r>
      <w:r w:rsidRPr="00637256">
        <w:rPr>
          <w:rFonts w:eastAsia="Calibri"/>
          <w:sz w:val="22"/>
          <w:szCs w:val="22"/>
          <w:lang w:val="en-GB" w:eastAsia="en-US"/>
        </w:rPr>
        <w:t xml:space="preserve"> involved in procurement/grant award procedures and/or contract implementation, which may include in particular:</w:t>
      </w:r>
    </w:p>
    <w:p w14:paraId="2E5D747A" w14:textId="77777777"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 xml:space="preserve">Name; </w:t>
      </w:r>
    </w:p>
    <w:p w14:paraId="524A32AD" w14:textId="77777777"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 xml:space="preserve">Function; </w:t>
      </w:r>
    </w:p>
    <w:p w14:paraId="03870632" w14:textId="77777777"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 xml:space="preserve">Contact details (e-mail address, business telephone number, mobile telephone number, fax number, postal address, department and office number, country of residence); </w:t>
      </w:r>
    </w:p>
    <w:p w14:paraId="6E055C7E" w14:textId="77777777"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 xml:space="preserve">Signature. </w:t>
      </w:r>
    </w:p>
    <w:p w14:paraId="5EBA2DAE" w14:textId="77777777" w:rsidR="005724BD" w:rsidRPr="00637256" w:rsidRDefault="005724BD" w:rsidP="005724BD">
      <w:pPr>
        <w:spacing w:after="0"/>
        <w:rPr>
          <w:rFonts w:eastAsia="Calibri"/>
          <w:i/>
          <w:sz w:val="22"/>
          <w:szCs w:val="22"/>
          <w:lang w:val="en-GB" w:eastAsia="en-US"/>
        </w:rPr>
      </w:pPr>
    </w:p>
    <w:p w14:paraId="2777593C" w14:textId="77777777" w:rsidR="005724BD" w:rsidRPr="00637256" w:rsidRDefault="005724BD" w:rsidP="005724BD">
      <w:pPr>
        <w:numPr>
          <w:ilvl w:val="0"/>
          <w:numId w:val="37"/>
        </w:numPr>
        <w:spacing w:after="0"/>
        <w:rPr>
          <w:rFonts w:eastAsia="Calibri"/>
          <w:sz w:val="22"/>
          <w:szCs w:val="22"/>
          <w:lang w:val="en-GB" w:eastAsia="en-US"/>
        </w:rPr>
      </w:pPr>
      <w:r w:rsidRPr="00637256">
        <w:rPr>
          <w:rFonts w:eastAsia="Calibri"/>
          <w:sz w:val="22"/>
          <w:szCs w:val="22"/>
          <w:lang w:val="en-GB" w:eastAsia="en-US"/>
        </w:rPr>
        <w:t>Personal data of tenderers/grant applicants/contractors/subcontractors/their staff/proposed experts and contractors, which may include in particular:</w:t>
      </w:r>
    </w:p>
    <w:p w14:paraId="28A7114A" w14:textId="77777777"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 xml:space="preserve">Name; </w:t>
      </w:r>
    </w:p>
    <w:p w14:paraId="2C4F0A18" w14:textId="77777777"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 xml:space="preserve">Function; </w:t>
      </w:r>
    </w:p>
    <w:p w14:paraId="6F42F5C2" w14:textId="77777777"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 xml:space="preserve">Contact details; </w:t>
      </w:r>
    </w:p>
    <w:p w14:paraId="76DB18C5" w14:textId="77777777"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 xml:space="preserve">Bank account reference (IBAN and BIC codes), VAT number, passport number, ID number; </w:t>
      </w:r>
    </w:p>
    <w:p w14:paraId="4E52432A" w14:textId="1848AA5F" w:rsidR="005724BD" w:rsidRPr="00637256" w:rsidRDefault="005724BD" w:rsidP="005724BD">
      <w:pPr>
        <w:numPr>
          <w:ilvl w:val="1"/>
          <w:numId w:val="37"/>
        </w:numPr>
        <w:spacing w:after="0"/>
        <w:rPr>
          <w:rFonts w:eastAsia="Calibri"/>
          <w:i/>
          <w:sz w:val="22"/>
          <w:szCs w:val="22"/>
          <w:lang w:val="en-GB" w:eastAsia="en-US"/>
        </w:rPr>
      </w:pPr>
      <w:r w:rsidRPr="00637256">
        <w:rPr>
          <w:rFonts w:eastAsia="Calibri"/>
          <w:i/>
          <w:sz w:val="22"/>
          <w:szCs w:val="22"/>
          <w:lang w:val="en-GB" w:eastAsia="en-US"/>
        </w:rPr>
        <w:t>Information for the evaluation of selection criteria: expertise, technical skills and languages, educational background, professional experience including details</w:t>
      </w:r>
      <w:r w:rsidR="007A7C48" w:rsidRPr="00637256">
        <w:rPr>
          <w:rFonts w:eastAsia="Calibri"/>
          <w:i/>
          <w:sz w:val="22"/>
          <w:szCs w:val="22"/>
          <w:lang w:val="en-GB" w:eastAsia="en-US"/>
        </w:rPr>
        <w:t xml:space="preserve"> on current and past employment.</w:t>
      </w:r>
      <w:r w:rsidRPr="00637256">
        <w:rPr>
          <w:rFonts w:eastAsia="Calibri"/>
          <w:i/>
          <w:sz w:val="22"/>
          <w:szCs w:val="22"/>
          <w:lang w:val="en-GB" w:eastAsia="en-US"/>
        </w:rPr>
        <w:t xml:space="preserve"> </w:t>
      </w:r>
    </w:p>
    <w:p w14:paraId="44E77700" w14:textId="77777777" w:rsidR="005724BD" w:rsidRPr="00637256" w:rsidRDefault="005724BD" w:rsidP="005724BD">
      <w:pPr>
        <w:spacing w:after="0"/>
        <w:rPr>
          <w:rFonts w:eastAsia="Calibri"/>
          <w:sz w:val="22"/>
          <w:szCs w:val="22"/>
          <w:lang w:val="en-GB" w:eastAsia="en-US"/>
        </w:rPr>
      </w:pPr>
    </w:p>
    <w:p w14:paraId="688CE415" w14:textId="618FD717" w:rsidR="00F767FD" w:rsidRPr="00637256" w:rsidRDefault="00F767FD" w:rsidP="00F767FD">
      <w:pPr>
        <w:spacing w:after="0"/>
        <w:rPr>
          <w:rFonts w:eastAsia="Calibri"/>
          <w:sz w:val="22"/>
          <w:szCs w:val="22"/>
          <w:lang w:val="en-GB" w:eastAsia="en-US"/>
        </w:rPr>
      </w:pPr>
      <w:r w:rsidRPr="00637256">
        <w:rPr>
          <w:rFonts w:eastAsia="Calibri"/>
          <w:sz w:val="22"/>
          <w:szCs w:val="22"/>
          <w:lang w:val="en-GB" w:eastAsia="en-US"/>
        </w:rPr>
        <w:t>When the action is</w:t>
      </w:r>
      <w:r w:rsidR="0084106C" w:rsidRPr="00637256">
        <w:rPr>
          <w:rFonts w:eastAsia="Calibri"/>
          <w:sz w:val="22"/>
          <w:szCs w:val="22"/>
          <w:lang w:val="en-GB" w:eastAsia="en-US"/>
        </w:rPr>
        <w:t xml:space="preserve"> </w:t>
      </w:r>
      <w:r w:rsidRPr="00637256">
        <w:rPr>
          <w:rFonts w:eastAsia="Calibri"/>
          <w:sz w:val="22"/>
          <w:szCs w:val="22"/>
          <w:lang w:val="en-GB" w:eastAsia="en-US"/>
        </w:rPr>
        <w:t>implemented under indirect management by the partner country, the Commission does not make available personal data, other than personal data of Commission staff, to the partner countries. Personal data of Commission staff made available to the authorities of the third country are very limited and strictly necessa</w:t>
      </w:r>
      <w:r w:rsidR="00D4532B" w:rsidRPr="00637256">
        <w:rPr>
          <w:rFonts w:eastAsia="Calibri"/>
          <w:sz w:val="22"/>
          <w:szCs w:val="22"/>
          <w:lang w:val="en-GB" w:eastAsia="en-US"/>
        </w:rPr>
        <w:t>ry for enabling communication (n</w:t>
      </w:r>
      <w:r w:rsidRPr="00637256">
        <w:rPr>
          <w:rFonts w:eastAsia="Calibri"/>
          <w:sz w:val="22"/>
          <w:szCs w:val="22"/>
          <w:lang w:val="en-GB" w:eastAsia="en-US"/>
        </w:rPr>
        <w:t>ames and signa</w:t>
      </w:r>
      <w:r w:rsidR="00D4532B" w:rsidRPr="00637256">
        <w:rPr>
          <w:rFonts w:eastAsia="Calibri"/>
          <w:sz w:val="22"/>
          <w:szCs w:val="22"/>
          <w:lang w:val="en-GB" w:eastAsia="en-US"/>
        </w:rPr>
        <w:t>tures of Authorising Officers, n</w:t>
      </w:r>
      <w:r w:rsidRPr="00637256">
        <w:rPr>
          <w:rFonts w:eastAsia="Calibri"/>
          <w:sz w:val="22"/>
          <w:szCs w:val="22"/>
          <w:lang w:val="en-GB" w:eastAsia="en-US"/>
        </w:rPr>
        <w:t xml:space="preserve">ames and contact details of Commission staff and/or any intra </w:t>
      </w:r>
      <w:proofErr w:type="spellStart"/>
      <w:r w:rsidRPr="00637256">
        <w:rPr>
          <w:rFonts w:eastAsia="Calibri"/>
          <w:sz w:val="22"/>
          <w:szCs w:val="22"/>
          <w:lang w:val="en-GB" w:eastAsia="en-US"/>
        </w:rPr>
        <w:t>muros</w:t>
      </w:r>
      <w:proofErr w:type="spellEnd"/>
      <w:r w:rsidRPr="00637256">
        <w:rPr>
          <w:rFonts w:eastAsia="Calibri"/>
          <w:sz w:val="22"/>
          <w:szCs w:val="22"/>
          <w:lang w:val="en-GB" w:eastAsia="en-US"/>
        </w:rPr>
        <w:t xml:space="preserve"> service providers acting as contact points of partner country representatives and/or involved in award procedures/contract implementation). </w:t>
      </w:r>
    </w:p>
    <w:p w14:paraId="0016F005" w14:textId="77777777" w:rsidR="00D4532B" w:rsidRPr="00637256" w:rsidRDefault="00D4532B" w:rsidP="00F767FD">
      <w:pPr>
        <w:spacing w:after="0"/>
        <w:rPr>
          <w:rFonts w:eastAsia="Calibri"/>
          <w:sz w:val="22"/>
          <w:szCs w:val="22"/>
          <w:lang w:val="en-GB" w:eastAsia="en-US"/>
        </w:rPr>
      </w:pPr>
    </w:p>
    <w:p w14:paraId="0B02A2FF" w14:textId="77777777" w:rsidR="00F767FD" w:rsidRPr="00637256" w:rsidRDefault="00F767FD" w:rsidP="00F767FD">
      <w:pPr>
        <w:spacing w:after="0"/>
        <w:rPr>
          <w:rFonts w:eastAsia="Calibri"/>
          <w:sz w:val="22"/>
          <w:szCs w:val="22"/>
          <w:lang w:val="en-GB" w:eastAsia="en-US"/>
        </w:rPr>
      </w:pPr>
      <w:r w:rsidRPr="00637256">
        <w:rPr>
          <w:rFonts w:eastAsia="Calibri"/>
          <w:sz w:val="22"/>
          <w:szCs w:val="22"/>
          <w:lang w:val="en-GB" w:eastAsia="en-US"/>
        </w:rPr>
        <w:t>On the other hand, in indirect management, the partner country contracting authority does make available personal data it collected to the Commission to allow the Commission to exercise its supervisory powers.</w:t>
      </w:r>
    </w:p>
    <w:p w14:paraId="7F33C66F" w14:textId="77777777" w:rsidR="004D7EFA" w:rsidRPr="00637256" w:rsidRDefault="004D7EFA" w:rsidP="00F767FD">
      <w:pPr>
        <w:spacing w:after="0"/>
        <w:rPr>
          <w:rFonts w:eastAsia="Calibri"/>
          <w:sz w:val="22"/>
          <w:szCs w:val="22"/>
          <w:lang w:val="en-GB" w:eastAsia="en-US"/>
        </w:rPr>
      </w:pPr>
    </w:p>
    <w:p w14:paraId="005087DC" w14:textId="3D79657A" w:rsidR="004D7EFA" w:rsidRPr="00637256" w:rsidRDefault="0009417A" w:rsidP="004D7EFA">
      <w:pPr>
        <w:spacing w:after="0"/>
        <w:rPr>
          <w:rFonts w:eastAsia="Calibri"/>
          <w:sz w:val="22"/>
          <w:szCs w:val="22"/>
          <w:lang w:val="en-GB" w:eastAsia="en-US"/>
        </w:rPr>
      </w:pPr>
      <w:r w:rsidRPr="00AE09CA">
        <w:rPr>
          <w:rFonts w:eastAsia="Calibri"/>
          <w:sz w:val="22"/>
          <w:szCs w:val="22"/>
          <w:highlight w:val="yellow"/>
          <w:lang w:val="en-GB" w:eastAsia="en-US"/>
        </w:rPr>
        <w:t>For DG NEAR</w:t>
      </w:r>
      <w:r w:rsidR="009D6DFC" w:rsidRPr="00637256">
        <w:rPr>
          <w:rFonts w:eastAsia="Calibri"/>
          <w:sz w:val="22"/>
          <w:szCs w:val="22"/>
          <w:lang w:val="en-GB" w:eastAsia="en-US"/>
        </w:rPr>
        <w:t>:</w:t>
      </w:r>
      <w:r w:rsidR="00482C2E" w:rsidRPr="00637256">
        <w:rPr>
          <w:rFonts w:eastAsia="Calibri"/>
          <w:sz w:val="22"/>
          <w:szCs w:val="22"/>
          <w:lang w:val="en-GB" w:eastAsia="en-US"/>
        </w:rPr>
        <w:t xml:space="preserve"> </w:t>
      </w:r>
      <w:r w:rsidR="00AE09CA">
        <w:rPr>
          <w:rFonts w:eastAsia="Calibri"/>
          <w:sz w:val="22"/>
          <w:szCs w:val="22"/>
          <w:lang w:val="en-GB" w:eastAsia="en-US"/>
        </w:rPr>
        <w:t>[</w:t>
      </w:r>
      <w:r w:rsidR="004D7EFA" w:rsidRPr="00AE09CA">
        <w:rPr>
          <w:rFonts w:eastAsia="Calibri"/>
          <w:sz w:val="22"/>
          <w:szCs w:val="22"/>
          <w:highlight w:val="lightGray"/>
          <w:lang w:val="en-GB" w:eastAsia="en-US"/>
        </w:rPr>
        <w:t>When the action is implemented under share</w:t>
      </w:r>
      <w:r w:rsidRPr="00AE09CA">
        <w:rPr>
          <w:rFonts w:eastAsia="Calibri"/>
          <w:sz w:val="22"/>
          <w:szCs w:val="22"/>
          <w:highlight w:val="lightGray"/>
          <w:lang w:val="en-GB" w:eastAsia="en-US"/>
        </w:rPr>
        <w:t>d</w:t>
      </w:r>
      <w:r w:rsidR="004D7EFA" w:rsidRPr="00AE09CA">
        <w:rPr>
          <w:rFonts w:eastAsia="Calibri"/>
          <w:sz w:val="22"/>
          <w:szCs w:val="22"/>
          <w:highlight w:val="lightGray"/>
          <w:lang w:val="en-GB" w:eastAsia="en-US"/>
        </w:rPr>
        <w:t xml:space="preserve"> management by member states</w:t>
      </w:r>
      <w:r w:rsidR="003818F8" w:rsidRPr="00AE09CA">
        <w:rPr>
          <w:rFonts w:eastAsia="Calibri"/>
          <w:sz w:val="22"/>
          <w:szCs w:val="22"/>
          <w:highlight w:val="lightGray"/>
          <w:lang w:val="en-GB" w:eastAsia="en-US"/>
        </w:rPr>
        <w:t>,</w:t>
      </w:r>
      <w:r w:rsidR="004D7EFA" w:rsidRPr="00AE09CA">
        <w:rPr>
          <w:rFonts w:eastAsia="Calibri"/>
          <w:sz w:val="22"/>
          <w:szCs w:val="22"/>
          <w:highlight w:val="lightGray"/>
          <w:lang w:val="en-GB" w:eastAsia="en-US"/>
        </w:rPr>
        <w:t xml:space="preserve"> the Commission does not make available personal data, other than personal data of Commission staff, to the authorities of the member states. Personal data of Commission staff made available to managing authorities and their bodies are very limited and strictly necessary for enabling communication (names and signatures of Authorising Officers, names and contact details of Commission staff and/or any </w:t>
      </w:r>
      <w:r w:rsidR="004D7EFA" w:rsidRPr="00AE09CA">
        <w:rPr>
          <w:rFonts w:eastAsia="Calibri"/>
          <w:i/>
          <w:sz w:val="22"/>
          <w:szCs w:val="22"/>
          <w:highlight w:val="lightGray"/>
          <w:lang w:val="en-GB" w:eastAsia="en-US"/>
        </w:rPr>
        <w:t xml:space="preserve">intra </w:t>
      </w:r>
      <w:proofErr w:type="spellStart"/>
      <w:r w:rsidR="004D7EFA" w:rsidRPr="00AE09CA">
        <w:rPr>
          <w:rFonts w:eastAsia="Calibri"/>
          <w:i/>
          <w:sz w:val="22"/>
          <w:szCs w:val="22"/>
          <w:highlight w:val="lightGray"/>
          <w:lang w:val="en-GB" w:eastAsia="en-US"/>
        </w:rPr>
        <w:t>muros</w:t>
      </w:r>
      <w:proofErr w:type="spellEnd"/>
      <w:r w:rsidR="004D7EFA" w:rsidRPr="00AE09CA">
        <w:rPr>
          <w:rFonts w:eastAsia="Calibri"/>
          <w:sz w:val="22"/>
          <w:szCs w:val="22"/>
          <w:highlight w:val="lightGray"/>
          <w:lang w:val="en-GB" w:eastAsia="en-US"/>
        </w:rPr>
        <w:t xml:space="preserve"> service providers acting as contact points of the managing </w:t>
      </w:r>
      <w:r w:rsidR="003818F8" w:rsidRPr="00AE09CA">
        <w:rPr>
          <w:rFonts w:eastAsia="Calibri"/>
          <w:sz w:val="22"/>
          <w:szCs w:val="22"/>
          <w:highlight w:val="lightGray"/>
          <w:lang w:val="en-GB" w:eastAsia="en-US"/>
        </w:rPr>
        <w:t>authorities</w:t>
      </w:r>
      <w:r w:rsidR="004D7EFA" w:rsidRPr="00AE09CA">
        <w:rPr>
          <w:rFonts w:eastAsia="Calibri"/>
          <w:sz w:val="22"/>
          <w:szCs w:val="22"/>
          <w:highlight w:val="lightGray"/>
          <w:lang w:val="en-GB" w:eastAsia="en-US"/>
        </w:rPr>
        <w:t>’ representatives and/or involved in award procedures/contract implementation).</w:t>
      </w:r>
      <w:r w:rsidR="00AE09CA">
        <w:rPr>
          <w:rFonts w:eastAsia="Calibri"/>
          <w:sz w:val="22"/>
          <w:szCs w:val="22"/>
          <w:lang w:val="en-GB" w:eastAsia="en-US"/>
        </w:rPr>
        <w:t>]</w:t>
      </w:r>
    </w:p>
    <w:p w14:paraId="2C78A3D1" w14:textId="77777777" w:rsidR="00D4532B" w:rsidRPr="00637256" w:rsidRDefault="00D4532B" w:rsidP="00F767FD">
      <w:pPr>
        <w:spacing w:after="0"/>
        <w:rPr>
          <w:rFonts w:eastAsia="Calibri"/>
          <w:color w:val="FF0000"/>
          <w:sz w:val="22"/>
          <w:szCs w:val="22"/>
          <w:lang w:val="en-GB" w:eastAsia="en-US"/>
        </w:rPr>
      </w:pPr>
    </w:p>
    <w:p w14:paraId="2B3158CD" w14:textId="53336C75" w:rsidR="006B6CEE" w:rsidRPr="00637256" w:rsidRDefault="006B6CEE" w:rsidP="006B6CEE">
      <w:pPr>
        <w:rPr>
          <w:rFonts w:eastAsia="Calibri"/>
          <w:sz w:val="22"/>
          <w:szCs w:val="22"/>
          <w:lang w:val="en-GB" w:eastAsia="en-US"/>
        </w:rPr>
      </w:pPr>
      <w:r w:rsidRPr="00637256">
        <w:rPr>
          <w:rFonts w:eastAsia="Calibri"/>
          <w:sz w:val="22"/>
          <w:szCs w:val="22"/>
          <w:lang w:val="en-GB" w:eastAsia="en-US"/>
        </w:rPr>
        <w:t>Please note that pursuant to Article 3(13) of</w:t>
      </w:r>
      <w:r w:rsidR="00F767FD" w:rsidRPr="00637256">
        <w:rPr>
          <w:rFonts w:eastAsia="Calibri"/>
          <w:sz w:val="22"/>
          <w:szCs w:val="22"/>
          <w:lang w:val="en-GB" w:eastAsia="en-US"/>
        </w:rPr>
        <w:t xml:space="preserve"> </w:t>
      </w:r>
      <w:r w:rsidRPr="00637256">
        <w:rPr>
          <w:rFonts w:eastAsia="Calibri"/>
          <w:sz w:val="22"/>
          <w:szCs w:val="22"/>
          <w:lang w:val="en-GB" w:eastAsia="en-US"/>
        </w:rPr>
        <w:t>Regulation</w:t>
      </w:r>
      <w:r w:rsidR="00F767FD" w:rsidRPr="00637256">
        <w:rPr>
          <w:rFonts w:eastAsia="Calibri"/>
          <w:sz w:val="22"/>
          <w:szCs w:val="22"/>
          <w:lang w:val="en-GB" w:eastAsia="en-US"/>
        </w:rPr>
        <w:t xml:space="preserve"> (EU) 2018/1725</w:t>
      </w:r>
      <w:r w:rsidRPr="00637256">
        <w:rPr>
          <w:rFonts w:eastAsia="Calibri"/>
          <w:sz w:val="22"/>
          <w:szCs w:val="22"/>
          <w:lang w:val="en-GB" w:eastAsia="en-US"/>
        </w:rPr>
        <w:t>, public authorities (e.g. Court of Auditors, EU Court of Justice) which may receive personal data in the framework of a particular inquiry in accordance with Union or Member State law shall not be regarded as recipients. The processing of those data by those public authorities shall be in compliance with the applicable data protection rules according to the purposes of the processing.</w:t>
      </w:r>
    </w:p>
    <w:p w14:paraId="1F288A77" w14:textId="77777777" w:rsidR="006B6CEE" w:rsidRPr="00637256" w:rsidRDefault="006B6CEE" w:rsidP="006B6CEE">
      <w:pPr>
        <w:rPr>
          <w:rFonts w:eastAsia="Calibri"/>
          <w:sz w:val="22"/>
          <w:szCs w:val="22"/>
          <w:lang w:val="en-GB" w:eastAsia="en-US"/>
        </w:rPr>
      </w:pPr>
      <w:r w:rsidRPr="00637256">
        <w:rPr>
          <w:rFonts w:eastAsia="Calibri"/>
          <w:sz w:val="22"/>
          <w:szCs w:val="22"/>
          <w:lang w:val="en-GB" w:eastAsia="en-US"/>
        </w:rPr>
        <w:t>The information we collect will not be given to any third party, except to the extent and for the purpose we m</w:t>
      </w:r>
      <w:r w:rsidR="00F767FD" w:rsidRPr="00637256">
        <w:rPr>
          <w:rFonts w:eastAsia="Calibri"/>
          <w:sz w:val="22"/>
          <w:szCs w:val="22"/>
          <w:lang w:val="en-GB" w:eastAsia="en-US"/>
        </w:rPr>
        <w:t>ay be required to do so by law.</w:t>
      </w:r>
    </w:p>
    <w:p w14:paraId="7154B079" w14:textId="77777777" w:rsidR="006B6CEE" w:rsidRPr="00637256" w:rsidRDefault="006B6CEE" w:rsidP="006B6CEE">
      <w:pPr>
        <w:numPr>
          <w:ilvl w:val="0"/>
          <w:numId w:val="21"/>
        </w:numPr>
        <w:spacing w:after="200"/>
        <w:rPr>
          <w:rFonts w:eastAsia="Calibri"/>
          <w:b/>
          <w:sz w:val="22"/>
          <w:szCs w:val="22"/>
          <w:u w:val="single"/>
          <w:lang w:val="en-GB" w:eastAsia="en-US"/>
        </w:rPr>
      </w:pPr>
      <w:r w:rsidRPr="00637256">
        <w:rPr>
          <w:rFonts w:eastAsia="Calibri"/>
          <w:b/>
          <w:sz w:val="22"/>
          <w:szCs w:val="22"/>
          <w:u w:val="single"/>
          <w:lang w:val="en-GB" w:eastAsia="en-US"/>
        </w:rPr>
        <w:t xml:space="preserve">What are your rights and how can you exercise them? </w:t>
      </w:r>
    </w:p>
    <w:p w14:paraId="59030977" w14:textId="77777777" w:rsidR="006B6CEE" w:rsidRPr="00637256" w:rsidRDefault="006B6CEE" w:rsidP="006B6CEE">
      <w:pPr>
        <w:spacing w:after="0"/>
        <w:rPr>
          <w:rFonts w:eastAsia="Calibri"/>
          <w:sz w:val="22"/>
          <w:szCs w:val="22"/>
          <w:lang w:val="en-IE" w:eastAsia="en-US"/>
        </w:rPr>
      </w:pPr>
      <w:r w:rsidRPr="00637256">
        <w:rPr>
          <w:rFonts w:eastAsia="Calibri"/>
          <w:sz w:val="22"/>
          <w:szCs w:val="22"/>
          <w:lang w:val="en-IE" w:eastAsia="en-US"/>
        </w:rPr>
        <w:t>You have specific rights as a ‘data subject’ under Chapter III (Articles 14-25) of Regulation (EU) 2018/1725, in particular the right to access, your personal data and to rectify them in case your personal data are inaccurate or incomplete. Where applicable, you have the right to erase your personal data, to restrict the processing of your personal data, to object to the processing, and the right to data portability.</w:t>
      </w:r>
    </w:p>
    <w:p w14:paraId="648F0FA4" w14:textId="77777777" w:rsidR="006B6CEE" w:rsidRPr="00637256" w:rsidRDefault="006B6CEE" w:rsidP="006B6CEE">
      <w:pPr>
        <w:spacing w:after="0"/>
        <w:rPr>
          <w:rFonts w:eastAsia="Calibri"/>
          <w:i/>
          <w:color w:val="FF0000"/>
          <w:sz w:val="22"/>
          <w:szCs w:val="22"/>
          <w:lang w:val="en-GB" w:eastAsia="en-US"/>
        </w:rPr>
      </w:pPr>
    </w:p>
    <w:p w14:paraId="5F57F89E" w14:textId="77777777" w:rsidR="006B6CEE" w:rsidRPr="00637256" w:rsidRDefault="006B6CEE" w:rsidP="006B6CEE">
      <w:pPr>
        <w:spacing w:after="0"/>
        <w:rPr>
          <w:rFonts w:eastAsia="Calibri"/>
          <w:sz w:val="22"/>
          <w:szCs w:val="22"/>
          <w:lang w:val="en-GB" w:eastAsia="en-US"/>
        </w:rPr>
      </w:pPr>
      <w:r w:rsidRPr="00637256">
        <w:rPr>
          <w:rFonts w:eastAsia="Calibri"/>
          <w:sz w:val="22"/>
          <w:szCs w:val="22"/>
          <w:lang w:val="en-GB" w:eastAsia="en-US"/>
        </w:rPr>
        <w:t>You have the right to object to the processing of your personal data, which is lawfully carried out pursuant to Article 5(1</w:t>
      </w:r>
      <w:proofErr w:type="gramStart"/>
      <w:r w:rsidRPr="00637256">
        <w:rPr>
          <w:rFonts w:eastAsia="Calibri"/>
          <w:sz w:val="22"/>
          <w:szCs w:val="22"/>
          <w:lang w:val="en-GB" w:eastAsia="en-US"/>
        </w:rPr>
        <w:t>)(</w:t>
      </w:r>
      <w:proofErr w:type="gramEnd"/>
      <w:r w:rsidRPr="00637256">
        <w:rPr>
          <w:rFonts w:eastAsia="Calibri"/>
          <w:sz w:val="22"/>
          <w:szCs w:val="22"/>
          <w:lang w:val="en-GB" w:eastAsia="en-US"/>
        </w:rPr>
        <w:t xml:space="preserve">a) on grounds relating to your particular situation. </w:t>
      </w:r>
    </w:p>
    <w:p w14:paraId="4CE9B0C5" w14:textId="77777777" w:rsidR="006B6CEE" w:rsidRPr="00637256" w:rsidRDefault="006B6CEE" w:rsidP="006B6CEE">
      <w:pPr>
        <w:spacing w:after="0"/>
        <w:rPr>
          <w:rFonts w:eastAsia="Calibri"/>
          <w:sz w:val="22"/>
          <w:szCs w:val="22"/>
          <w:lang w:val="en-GB" w:eastAsia="en-US"/>
        </w:rPr>
      </w:pPr>
    </w:p>
    <w:p w14:paraId="3C2F5A92" w14:textId="77777777" w:rsidR="006B6CEE" w:rsidRPr="00637256" w:rsidRDefault="006B6CEE" w:rsidP="006B6CEE">
      <w:pPr>
        <w:autoSpaceDE w:val="0"/>
        <w:autoSpaceDN w:val="0"/>
        <w:adjustRightInd w:val="0"/>
        <w:rPr>
          <w:rFonts w:eastAsia="Calibri"/>
          <w:sz w:val="22"/>
          <w:szCs w:val="22"/>
          <w:lang w:val="en-GB" w:eastAsia="en-US"/>
        </w:rPr>
      </w:pPr>
      <w:r w:rsidRPr="00637256">
        <w:rPr>
          <w:rFonts w:eastAsia="Calibri"/>
          <w:sz w:val="22"/>
          <w:szCs w:val="22"/>
          <w:lang w:val="en-GB" w:eastAsia="en-US"/>
        </w:rPr>
        <w:t xml:space="preserve">You can exercise your rights by contacting the Data Controller, or in case of conflict the Data Protection Officer. If necessary, you can also address the European Data Protection Supervisor. Their contact information is given under Heading 9 below. </w:t>
      </w:r>
    </w:p>
    <w:p w14:paraId="7FB2672E" w14:textId="77777777" w:rsidR="006B6CEE" w:rsidRPr="00637256" w:rsidRDefault="006B6CEE" w:rsidP="006B6CEE">
      <w:pPr>
        <w:autoSpaceDE w:val="0"/>
        <w:autoSpaceDN w:val="0"/>
        <w:adjustRightInd w:val="0"/>
        <w:rPr>
          <w:rFonts w:eastAsia="Calibri"/>
          <w:sz w:val="22"/>
          <w:szCs w:val="22"/>
          <w:lang w:val="en-GB" w:eastAsia="en-US"/>
        </w:rPr>
      </w:pPr>
      <w:r w:rsidRPr="00637256">
        <w:rPr>
          <w:rFonts w:eastAsia="Calibri"/>
          <w:sz w:val="22"/>
          <w:szCs w:val="22"/>
          <w:lang w:val="en-GB" w:eastAsia="en-US"/>
        </w:rPr>
        <w:t>Where you wish to exercise your rights in the context of one or several specific processing operations, please provide their description (i.e. their Record reference(s) as specified under Heading 10 below) in your request</w:t>
      </w:r>
      <w:r w:rsidRPr="00637256">
        <w:rPr>
          <w:rFonts w:eastAsia="Cambria"/>
          <w:sz w:val="22"/>
          <w:szCs w:val="22"/>
          <w:lang w:val="en-US" w:eastAsia="fr-FR"/>
        </w:rPr>
        <w:t>.</w:t>
      </w:r>
    </w:p>
    <w:p w14:paraId="7A2D4F3C" w14:textId="77777777" w:rsidR="006B6CEE" w:rsidRPr="00637256" w:rsidRDefault="006B6CEE" w:rsidP="006B6CEE">
      <w:pPr>
        <w:keepNext/>
        <w:numPr>
          <w:ilvl w:val="0"/>
          <w:numId w:val="21"/>
        </w:numPr>
        <w:spacing w:after="200"/>
        <w:rPr>
          <w:rFonts w:eastAsia="Calibri"/>
          <w:b/>
          <w:sz w:val="22"/>
          <w:szCs w:val="22"/>
          <w:u w:val="single"/>
          <w:lang w:val="en-GB" w:eastAsia="en-US"/>
        </w:rPr>
      </w:pPr>
      <w:r w:rsidRPr="00637256">
        <w:rPr>
          <w:rFonts w:eastAsia="Calibri"/>
          <w:b/>
          <w:sz w:val="22"/>
          <w:szCs w:val="22"/>
          <w:u w:val="single"/>
          <w:lang w:val="en-GB" w:eastAsia="en-US"/>
        </w:rPr>
        <w:t>Contact information</w:t>
      </w:r>
    </w:p>
    <w:p w14:paraId="3745B6FF" w14:textId="77777777" w:rsidR="006B6CEE" w:rsidRPr="00637256" w:rsidRDefault="006B6CEE" w:rsidP="006B6CEE">
      <w:pPr>
        <w:pStyle w:val="ListParagraph"/>
        <w:keepNext/>
        <w:widowControl w:val="0"/>
        <w:numPr>
          <w:ilvl w:val="0"/>
          <w:numId w:val="22"/>
        </w:numPr>
        <w:rPr>
          <w:rFonts w:eastAsia="Calibri"/>
          <w:sz w:val="22"/>
          <w:szCs w:val="22"/>
          <w:lang w:val="en-GB" w:eastAsia="en-US"/>
        </w:rPr>
      </w:pPr>
      <w:r w:rsidRPr="00637256">
        <w:rPr>
          <w:rFonts w:eastAsia="Calibri"/>
          <w:b/>
          <w:sz w:val="22"/>
          <w:szCs w:val="22"/>
          <w:lang w:val="en-GB" w:eastAsia="en-US"/>
        </w:rPr>
        <w:t>The Data Controller</w:t>
      </w:r>
    </w:p>
    <w:p w14:paraId="088A1468" w14:textId="742054BC" w:rsidR="006B6CEE" w:rsidRPr="00637256" w:rsidRDefault="006B6CEE" w:rsidP="005D77E6">
      <w:pPr>
        <w:rPr>
          <w:strike/>
          <w:sz w:val="22"/>
          <w:szCs w:val="22"/>
          <w:lang w:val="en-GB"/>
        </w:rPr>
      </w:pPr>
      <w:r w:rsidRPr="00637256">
        <w:rPr>
          <w:rFonts w:eastAsia="Calibri"/>
          <w:sz w:val="22"/>
          <w:szCs w:val="22"/>
          <w:lang w:val="en-GB" w:eastAsia="en-US"/>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BC29B6" w:rsidRPr="00AE09CA">
        <w:rPr>
          <w:sz w:val="22"/>
          <w:szCs w:val="22"/>
          <w:highlight w:val="yellow"/>
          <w:lang w:val="en-GB"/>
        </w:rPr>
        <w:t xml:space="preserve">For DG </w:t>
      </w:r>
      <w:r w:rsidR="00B63152" w:rsidRPr="00AE09CA">
        <w:rPr>
          <w:sz w:val="22"/>
          <w:szCs w:val="22"/>
          <w:highlight w:val="yellow"/>
          <w:lang w:val="en-GB"/>
        </w:rPr>
        <w:t>INTPA</w:t>
      </w:r>
      <w:r w:rsidR="00AE09CA">
        <w:rPr>
          <w:sz w:val="22"/>
          <w:szCs w:val="22"/>
          <w:lang w:val="en-GB"/>
        </w:rPr>
        <w:t>:</w:t>
      </w:r>
      <w:r w:rsidR="00BC29B6" w:rsidRPr="00637256">
        <w:rPr>
          <w:sz w:val="22"/>
          <w:szCs w:val="22"/>
          <w:lang w:val="en-GB"/>
        </w:rPr>
        <w:t xml:space="preserve"> </w:t>
      </w:r>
      <w:r w:rsidR="00AE09CA">
        <w:rPr>
          <w:sz w:val="22"/>
          <w:szCs w:val="22"/>
          <w:lang w:val="en-GB"/>
        </w:rPr>
        <w:t>[</w:t>
      </w:r>
      <w:hyperlink r:id="rId22" w:history="1">
        <w:r w:rsidR="008328AD" w:rsidRPr="00AE09CA">
          <w:rPr>
            <w:rStyle w:val="Hyperlink"/>
            <w:sz w:val="22"/>
            <w:szCs w:val="22"/>
            <w:highlight w:val="lightGray"/>
            <w:lang w:val="en-GB"/>
          </w:rPr>
          <w:t>INTPA-R4@ec.europa.eu</w:t>
        </w:r>
      </w:hyperlink>
      <w:r w:rsidR="00AE09CA">
        <w:rPr>
          <w:sz w:val="22"/>
          <w:szCs w:val="22"/>
          <w:lang w:val="en-GB"/>
        </w:rPr>
        <w:t>]</w:t>
      </w:r>
      <w:r w:rsidR="00BC29B6" w:rsidRPr="00637256">
        <w:rPr>
          <w:rFonts w:eastAsia="Calibri"/>
          <w:i/>
          <w:color w:val="FF0000"/>
          <w:sz w:val="22"/>
          <w:szCs w:val="22"/>
          <w:lang w:val="en-GB" w:eastAsia="en-US"/>
        </w:rPr>
        <w:t xml:space="preserve"> </w:t>
      </w:r>
      <w:r w:rsidR="00896480" w:rsidRPr="00AE09CA">
        <w:rPr>
          <w:sz w:val="22"/>
          <w:szCs w:val="22"/>
          <w:highlight w:val="yellow"/>
          <w:lang w:val="en-GB"/>
        </w:rPr>
        <w:t>For DG NEAR</w:t>
      </w:r>
      <w:r w:rsidR="00896480" w:rsidRPr="00637256">
        <w:rPr>
          <w:sz w:val="22"/>
          <w:szCs w:val="22"/>
          <w:lang w:val="en-GB"/>
        </w:rPr>
        <w:t xml:space="preserve"> </w:t>
      </w:r>
      <w:r w:rsidR="00AE09CA" w:rsidRPr="00AE09CA">
        <w:rPr>
          <w:sz w:val="22"/>
          <w:szCs w:val="22"/>
          <w:highlight w:val="lightGray"/>
          <w:lang w:val="en-GB"/>
        </w:rPr>
        <w:t>[</w:t>
      </w:r>
      <w:hyperlink r:id="rId23" w:history="1">
        <w:r w:rsidR="00A0789A" w:rsidRPr="00AE09CA">
          <w:rPr>
            <w:rStyle w:val="Hyperlink"/>
            <w:sz w:val="22"/>
            <w:szCs w:val="22"/>
            <w:highlight w:val="lightGray"/>
            <w:lang w:val="en-GB"/>
          </w:rPr>
          <w:t>NEAR-R4@ec.europa.eu</w:t>
        </w:r>
      </w:hyperlink>
      <w:r w:rsidR="00AE09CA">
        <w:rPr>
          <w:sz w:val="22"/>
          <w:szCs w:val="22"/>
          <w:lang w:val="en-GB"/>
        </w:rPr>
        <w:t>]</w:t>
      </w:r>
      <w:r w:rsidR="0003020D" w:rsidRPr="00637256">
        <w:rPr>
          <w:sz w:val="22"/>
          <w:szCs w:val="22"/>
          <w:lang w:val="en-GB"/>
        </w:rPr>
        <w:t xml:space="preserve"> </w:t>
      </w:r>
      <w:r w:rsidR="0003020D" w:rsidRPr="00AE09CA">
        <w:rPr>
          <w:sz w:val="22"/>
          <w:szCs w:val="22"/>
          <w:highlight w:val="yellow"/>
          <w:lang w:val="en-GB"/>
        </w:rPr>
        <w:t>For FPI</w:t>
      </w:r>
      <w:r w:rsidR="0003020D" w:rsidRPr="00637256">
        <w:rPr>
          <w:sz w:val="22"/>
          <w:szCs w:val="22"/>
          <w:lang w:val="en-GB"/>
        </w:rPr>
        <w:t xml:space="preserve"> </w:t>
      </w:r>
      <w:r w:rsidR="00AE09CA">
        <w:rPr>
          <w:sz w:val="22"/>
          <w:szCs w:val="22"/>
          <w:lang w:val="en-GB"/>
        </w:rPr>
        <w:t>[</w:t>
      </w:r>
      <w:hyperlink r:id="rId24" w:history="1">
        <w:r w:rsidR="00804474" w:rsidRPr="00AE09CA">
          <w:rPr>
            <w:rStyle w:val="Hyperlink"/>
            <w:sz w:val="22"/>
            <w:szCs w:val="22"/>
            <w:highlight w:val="lightGray"/>
            <w:lang w:val="en-GB"/>
          </w:rPr>
          <w:t>FPI-DATA-PROTECTION@ec.europa.eu</w:t>
        </w:r>
      </w:hyperlink>
      <w:r w:rsidR="00AE09CA">
        <w:rPr>
          <w:rStyle w:val="Hyperlink"/>
          <w:sz w:val="22"/>
          <w:szCs w:val="22"/>
          <w:lang w:val="en-GB"/>
        </w:rPr>
        <w:t>]</w:t>
      </w:r>
      <w:r w:rsidR="00804474" w:rsidRPr="00637256">
        <w:rPr>
          <w:sz w:val="22"/>
          <w:szCs w:val="22"/>
          <w:lang w:val="en-GB"/>
        </w:rPr>
        <w:t>.</w:t>
      </w:r>
      <w:r w:rsidR="0003020D" w:rsidRPr="00637256">
        <w:rPr>
          <w:sz w:val="22"/>
          <w:szCs w:val="22"/>
          <w:lang w:val="en-GB"/>
        </w:rPr>
        <w:t xml:space="preserve"> </w:t>
      </w:r>
      <w:r w:rsidR="00896480" w:rsidRPr="00637256">
        <w:rPr>
          <w:sz w:val="22"/>
          <w:szCs w:val="22"/>
          <w:lang w:val="en-GB"/>
        </w:rPr>
        <w:t xml:space="preserve"> </w:t>
      </w:r>
    </w:p>
    <w:p w14:paraId="343D7D00" w14:textId="77777777" w:rsidR="006B6CEE" w:rsidRPr="00637256" w:rsidRDefault="006B6CEE" w:rsidP="006B6CEE">
      <w:pPr>
        <w:pStyle w:val="ListParagraph"/>
        <w:keepNext/>
        <w:numPr>
          <w:ilvl w:val="0"/>
          <w:numId w:val="22"/>
        </w:numPr>
        <w:rPr>
          <w:rFonts w:eastAsia="Calibri"/>
          <w:sz w:val="22"/>
          <w:szCs w:val="22"/>
          <w:lang w:val="en-GB" w:eastAsia="en-US"/>
        </w:rPr>
      </w:pPr>
      <w:r w:rsidRPr="00637256">
        <w:rPr>
          <w:rFonts w:eastAsia="Calibri"/>
          <w:b/>
          <w:sz w:val="22"/>
          <w:szCs w:val="22"/>
          <w:lang w:val="en-GB" w:eastAsia="en-US"/>
        </w:rPr>
        <w:t>The Data Protection Officer (DPO) of the Commission</w:t>
      </w:r>
    </w:p>
    <w:p w14:paraId="35F12AB7" w14:textId="77777777" w:rsidR="006B6CEE" w:rsidRPr="00637256" w:rsidRDefault="006B6CEE" w:rsidP="006B6CEE">
      <w:pPr>
        <w:spacing w:after="0"/>
        <w:rPr>
          <w:rFonts w:eastAsia="Calibri"/>
          <w:sz w:val="22"/>
          <w:szCs w:val="22"/>
          <w:lang w:val="en-GB" w:eastAsia="en-US"/>
        </w:rPr>
      </w:pPr>
      <w:r w:rsidRPr="00637256">
        <w:rPr>
          <w:rFonts w:eastAsia="Calibri"/>
          <w:sz w:val="22"/>
          <w:szCs w:val="22"/>
          <w:lang w:val="en-GB" w:eastAsia="en-US"/>
        </w:rPr>
        <w:t>You may contact the Data Protection Officer (</w:t>
      </w:r>
      <w:hyperlink r:id="rId25" w:history="1">
        <w:r w:rsidRPr="00637256">
          <w:rPr>
            <w:rStyle w:val="Hyperlink"/>
            <w:rFonts w:eastAsia="Calibri"/>
            <w:sz w:val="22"/>
            <w:szCs w:val="22"/>
            <w:lang w:val="en-GB" w:eastAsia="en-US"/>
          </w:rPr>
          <w:t>DATA-PROTECTION-OFFICER@ec.europa.eu</w:t>
        </w:r>
      </w:hyperlink>
      <w:r w:rsidRPr="00637256">
        <w:rPr>
          <w:rFonts w:eastAsia="Calibri"/>
          <w:color w:val="0000FF"/>
          <w:sz w:val="22"/>
          <w:szCs w:val="22"/>
          <w:u w:val="single"/>
          <w:lang w:val="en-GB" w:eastAsia="en-US"/>
        </w:rPr>
        <w:t xml:space="preserve">) </w:t>
      </w:r>
      <w:r w:rsidRPr="00637256">
        <w:rPr>
          <w:rFonts w:eastAsia="Calibri"/>
          <w:sz w:val="22"/>
          <w:szCs w:val="22"/>
          <w:lang w:val="en-GB" w:eastAsia="en-US"/>
        </w:rPr>
        <w:t>with regard to issues related to the processing of your personal data under Regulation (EU) 2018/1725.</w:t>
      </w:r>
    </w:p>
    <w:p w14:paraId="00006D6D" w14:textId="77777777" w:rsidR="006B6CEE" w:rsidRPr="00637256" w:rsidRDefault="006B6CEE" w:rsidP="006B6CEE">
      <w:pPr>
        <w:spacing w:after="0"/>
        <w:rPr>
          <w:rFonts w:eastAsia="Calibri"/>
          <w:sz w:val="22"/>
          <w:szCs w:val="22"/>
          <w:lang w:val="en-GB" w:eastAsia="en-US"/>
        </w:rPr>
      </w:pPr>
    </w:p>
    <w:p w14:paraId="2B7291E4" w14:textId="77777777" w:rsidR="006B6CEE" w:rsidRPr="00637256" w:rsidRDefault="006B6CEE" w:rsidP="006B6CEE">
      <w:pPr>
        <w:pStyle w:val="ListParagraph"/>
        <w:numPr>
          <w:ilvl w:val="0"/>
          <w:numId w:val="22"/>
        </w:numPr>
        <w:spacing w:after="0"/>
        <w:rPr>
          <w:rFonts w:eastAsia="Calibri"/>
          <w:b/>
          <w:sz w:val="22"/>
          <w:szCs w:val="22"/>
          <w:lang w:val="en-GB" w:eastAsia="en-US"/>
        </w:rPr>
      </w:pPr>
      <w:r w:rsidRPr="00637256">
        <w:rPr>
          <w:rFonts w:eastAsia="Calibri"/>
          <w:b/>
          <w:sz w:val="22"/>
          <w:szCs w:val="22"/>
          <w:lang w:val="en-GB" w:eastAsia="en-US"/>
        </w:rPr>
        <w:t>The European Data Protection Supervisor (EDPS)</w:t>
      </w:r>
    </w:p>
    <w:p w14:paraId="6553A082" w14:textId="77777777" w:rsidR="006B6CEE" w:rsidRPr="00637256" w:rsidRDefault="006B6CEE" w:rsidP="006B6CEE">
      <w:pPr>
        <w:spacing w:after="0"/>
        <w:rPr>
          <w:rFonts w:eastAsia="Calibri"/>
          <w:sz w:val="22"/>
          <w:szCs w:val="22"/>
          <w:lang w:val="en-GB" w:eastAsia="en-US"/>
        </w:rPr>
      </w:pPr>
    </w:p>
    <w:p w14:paraId="54418A32" w14:textId="77777777" w:rsidR="006B6CEE" w:rsidRPr="00637256" w:rsidRDefault="006B6CEE" w:rsidP="006B6CEE">
      <w:pPr>
        <w:rPr>
          <w:rFonts w:eastAsia="Calibri"/>
          <w:sz w:val="22"/>
          <w:szCs w:val="22"/>
          <w:lang w:val="en-GB" w:eastAsia="en-US"/>
        </w:rPr>
      </w:pPr>
      <w:r w:rsidRPr="00637256">
        <w:rPr>
          <w:rFonts w:eastAsia="Calibri"/>
          <w:sz w:val="22"/>
          <w:szCs w:val="22"/>
          <w:lang w:val="en-GB" w:eastAsia="en-US"/>
        </w:rPr>
        <w:t>You have the right to have recourse (i.e. you can lodge a complaint) to the European Data Protection Supervisor</w:t>
      </w:r>
      <w:r w:rsidRPr="00637256">
        <w:rPr>
          <w:rFonts w:eastAsia="Calibri"/>
          <w:color w:val="0000FF"/>
          <w:sz w:val="22"/>
          <w:szCs w:val="22"/>
          <w:u w:val="single"/>
          <w:lang w:val="en-GB" w:eastAsia="en-US"/>
        </w:rPr>
        <w:t xml:space="preserve"> (</w:t>
      </w:r>
      <w:hyperlink r:id="rId26" w:history="1">
        <w:r w:rsidRPr="00637256">
          <w:rPr>
            <w:rFonts w:eastAsia="Calibri"/>
            <w:color w:val="0000FF"/>
            <w:sz w:val="22"/>
            <w:szCs w:val="22"/>
            <w:u w:val="single"/>
            <w:lang w:val="en-GB" w:eastAsia="en-US"/>
          </w:rPr>
          <w:t>edps@edps.europa.eu</w:t>
        </w:r>
      </w:hyperlink>
      <w:r w:rsidRPr="00637256">
        <w:rPr>
          <w:rFonts w:eastAsia="Calibri"/>
          <w:color w:val="0000FF"/>
          <w:sz w:val="22"/>
          <w:szCs w:val="22"/>
          <w:u w:val="single"/>
          <w:lang w:val="en-GB" w:eastAsia="en-US"/>
        </w:rPr>
        <w:t>)</w:t>
      </w:r>
      <w:r w:rsidRPr="00637256">
        <w:rPr>
          <w:rFonts w:eastAsia="Calibri"/>
          <w:color w:val="0000FF"/>
          <w:sz w:val="22"/>
          <w:szCs w:val="22"/>
          <w:lang w:val="en-GB" w:eastAsia="en-US"/>
        </w:rPr>
        <w:t xml:space="preserve"> </w:t>
      </w:r>
      <w:r w:rsidRPr="00637256">
        <w:rPr>
          <w:rFonts w:eastAsia="Calibri"/>
          <w:sz w:val="22"/>
          <w:szCs w:val="22"/>
          <w:lang w:val="en-GB" w:eastAsia="en-US"/>
        </w:rPr>
        <w:t>if you consider that your rights under Regulation (EU) 2018/1725 have been infringed as a result of the processing of your personal data by the Data Controller.</w:t>
      </w:r>
    </w:p>
    <w:p w14:paraId="715F7A60" w14:textId="77777777" w:rsidR="006B6CEE" w:rsidRPr="00637256" w:rsidRDefault="006B6CEE" w:rsidP="006B6CEE">
      <w:pPr>
        <w:numPr>
          <w:ilvl w:val="0"/>
          <w:numId w:val="21"/>
        </w:numPr>
        <w:spacing w:after="200"/>
        <w:rPr>
          <w:rFonts w:eastAsia="Calibri"/>
          <w:b/>
          <w:sz w:val="22"/>
          <w:szCs w:val="22"/>
          <w:u w:val="single"/>
          <w:lang w:val="en-GB" w:eastAsia="en-US"/>
        </w:rPr>
      </w:pPr>
      <w:r w:rsidRPr="00637256">
        <w:rPr>
          <w:rFonts w:eastAsia="Calibri"/>
          <w:b/>
          <w:sz w:val="22"/>
          <w:szCs w:val="22"/>
          <w:u w:val="single"/>
          <w:lang w:val="en-GB" w:eastAsia="en-US"/>
        </w:rPr>
        <w:t>Where to find more detailed information?</w:t>
      </w:r>
    </w:p>
    <w:p w14:paraId="76E6A963" w14:textId="77777777" w:rsidR="006B6CEE" w:rsidRPr="00637256" w:rsidRDefault="006B6CEE" w:rsidP="006B6CEE">
      <w:pPr>
        <w:rPr>
          <w:rFonts w:eastAsia="Calibri"/>
          <w:sz w:val="22"/>
          <w:szCs w:val="22"/>
          <w:lang w:val="en-GB" w:eastAsia="en-US"/>
        </w:rPr>
      </w:pPr>
      <w:r w:rsidRPr="00637256">
        <w:rPr>
          <w:rFonts w:eastAsia="Calibri"/>
          <w:sz w:val="22"/>
          <w:szCs w:val="22"/>
          <w:lang w:val="en-GB" w:eastAsia="en-US"/>
        </w:rPr>
        <w:t xml:space="preserve">The Commission Data Protection Officer (DPO) publishes the register of all processing operations on personal data by the Commission, which have been documented and notified to him. You may access the register via the following link: </w:t>
      </w:r>
      <w:hyperlink r:id="rId27" w:history="1">
        <w:r w:rsidRPr="00637256">
          <w:rPr>
            <w:rFonts w:eastAsia="Calibri"/>
            <w:color w:val="0000FF"/>
            <w:sz w:val="22"/>
            <w:szCs w:val="22"/>
            <w:u w:val="single"/>
            <w:lang w:val="en-GB" w:eastAsia="en-US"/>
          </w:rPr>
          <w:t>http://ec.europa.eu/dpo-register</w:t>
        </w:r>
      </w:hyperlink>
      <w:r w:rsidRPr="00637256">
        <w:rPr>
          <w:rFonts w:eastAsia="Calibri"/>
          <w:sz w:val="22"/>
          <w:szCs w:val="22"/>
          <w:lang w:val="en-GB" w:eastAsia="en-US"/>
        </w:rPr>
        <w:t>.</w:t>
      </w:r>
    </w:p>
    <w:p w14:paraId="09FD2631" w14:textId="2E3878DE" w:rsidR="00BC29B6" w:rsidRPr="00637256" w:rsidRDefault="006B6CEE" w:rsidP="00BC29B6">
      <w:pPr>
        <w:rPr>
          <w:sz w:val="22"/>
          <w:szCs w:val="22"/>
          <w:lang w:val="en-GB"/>
        </w:rPr>
      </w:pPr>
      <w:r w:rsidRPr="00637256">
        <w:rPr>
          <w:rFonts w:eastAsia="Calibri"/>
          <w:sz w:val="22"/>
          <w:szCs w:val="22"/>
          <w:lang w:val="en-GB" w:eastAsia="en-US"/>
        </w:rPr>
        <w:t xml:space="preserve">This specific processing operation has been included in the DPO’s public register with the following Record reference: </w:t>
      </w:r>
      <w:r w:rsidR="00BC29B6" w:rsidRPr="00AE09CA">
        <w:rPr>
          <w:sz w:val="22"/>
          <w:szCs w:val="22"/>
          <w:highlight w:val="yellow"/>
          <w:lang w:val="en-GB"/>
        </w:rPr>
        <w:t xml:space="preserve">For DG </w:t>
      </w:r>
      <w:r w:rsidR="00B63152" w:rsidRPr="00AE09CA">
        <w:rPr>
          <w:sz w:val="22"/>
          <w:szCs w:val="22"/>
          <w:highlight w:val="yellow"/>
          <w:lang w:val="en-GB"/>
        </w:rPr>
        <w:t>INTPA</w:t>
      </w:r>
      <w:r w:rsidR="00BC29B6" w:rsidRPr="00637256">
        <w:rPr>
          <w:sz w:val="22"/>
          <w:szCs w:val="22"/>
          <w:lang w:val="en-GB"/>
        </w:rPr>
        <w:t xml:space="preserve"> </w:t>
      </w:r>
      <w:r w:rsidR="00BC29B6" w:rsidRPr="00637256">
        <w:rPr>
          <w:rFonts w:eastAsia="Calibri"/>
          <w:sz w:val="22"/>
          <w:szCs w:val="22"/>
          <w:lang w:val="en-GB" w:eastAsia="en-US"/>
        </w:rPr>
        <w:t>[</w:t>
      </w:r>
      <w:hyperlink r:id="rId28" w:history="1">
        <w:r w:rsidR="00BC29B6" w:rsidRPr="0043551C">
          <w:rPr>
            <w:rStyle w:val="Hyperlink"/>
            <w:rFonts w:eastAsia="Calibri"/>
            <w:sz w:val="22"/>
            <w:szCs w:val="22"/>
            <w:highlight w:val="lightGray"/>
            <w:lang w:val="en-GB" w:eastAsia="en-US"/>
          </w:rPr>
          <w:t>DPR-EC-01566</w:t>
        </w:r>
      </w:hyperlink>
      <w:r w:rsidR="00BC29B6" w:rsidRPr="00637256">
        <w:rPr>
          <w:rFonts w:eastAsia="Calibri"/>
          <w:sz w:val="22"/>
          <w:szCs w:val="22"/>
          <w:lang w:val="en-GB" w:eastAsia="en-US"/>
        </w:rPr>
        <w:t>]</w:t>
      </w:r>
      <w:r w:rsidR="00BC29B6" w:rsidRPr="00637256">
        <w:rPr>
          <w:rFonts w:eastAsia="Calibri"/>
          <w:i/>
          <w:sz w:val="22"/>
          <w:szCs w:val="22"/>
          <w:lang w:val="en-GB" w:eastAsia="en-US"/>
        </w:rPr>
        <w:t xml:space="preserve"> </w:t>
      </w:r>
      <w:r w:rsidR="00BC29B6" w:rsidRPr="00AE09CA">
        <w:rPr>
          <w:sz w:val="22"/>
          <w:szCs w:val="22"/>
          <w:highlight w:val="yellow"/>
          <w:lang w:val="en-GB"/>
        </w:rPr>
        <w:t>For DG NEAR</w:t>
      </w:r>
      <w:r w:rsidR="00BC29B6" w:rsidRPr="00637256">
        <w:rPr>
          <w:sz w:val="22"/>
          <w:szCs w:val="22"/>
          <w:lang w:val="en-GB"/>
        </w:rPr>
        <w:t xml:space="preserve"> [</w:t>
      </w:r>
      <w:hyperlink r:id="rId29" w:history="1">
        <w:r w:rsidR="00BC29B6" w:rsidRPr="0043551C">
          <w:rPr>
            <w:rStyle w:val="Hyperlink"/>
            <w:sz w:val="22"/>
            <w:szCs w:val="22"/>
            <w:highlight w:val="lightGray"/>
            <w:lang w:val="en-GB"/>
          </w:rPr>
          <w:t>DPR-EC-</w:t>
        </w:r>
        <w:r w:rsidR="004D7EFA" w:rsidRPr="0043551C">
          <w:rPr>
            <w:rStyle w:val="Hyperlink"/>
            <w:sz w:val="22"/>
            <w:szCs w:val="22"/>
            <w:highlight w:val="lightGray"/>
            <w:lang w:val="en-GB"/>
          </w:rPr>
          <w:t>01706</w:t>
        </w:r>
      </w:hyperlink>
      <w:r w:rsidR="00BC29B6" w:rsidRPr="00637256">
        <w:rPr>
          <w:sz w:val="22"/>
          <w:szCs w:val="22"/>
          <w:lang w:val="en-GB"/>
        </w:rPr>
        <w:t xml:space="preserve">] </w:t>
      </w:r>
      <w:r w:rsidR="0003020D" w:rsidRPr="00AE09CA">
        <w:rPr>
          <w:sz w:val="22"/>
          <w:szCs w:val="22"/>
          <w:highlight w:val="yellow"/>
          <w:lang w:val="en-GB"/>
        </w:rPr>
        <w:t>For FPI</w:t>
      </w:r>
      <w:r w:rsidR="0003020D" w:rsidRPr="00637256">
        <w:rPr>
          <w:sz w:val="22"/>
          <w:szCs w:val="22"/>
          <w:lang w:val="en-GB"/>
        </w:rPr>
        <w:t xml:space="preserve"> [</w:t>
      </w:r>
      <w:hyperlink r:id="rId30" w:history="1">
        <w:r w:rsidR="0003020D" w:rsidRPr="0043551C">
          <w:rPr>
            <w:rStyle w:val="Hyperlink"/>
            <w:sz w:val="22"/>
            <w:szCs w:val="22"/>
            <w:highlight w:val="lightGray"/>
            <w:lang w:val="en-IE"/>
          </w:rPr>
          <w:t>DPR-EC-04370</w:t>
        </w:r>
      </w:hyperlink>
      <w:r w:rsidR="0003020D" w:rsidRPr="00637256">
        <w:rPr>
          <w:sz w:val="22"/>
          <w:szCs w:val="22"/>
          <w:lang w:val="en-IE"/>
        </w:rPr>
        <w:t>]</w:t>
      </w:r>
      <w:r w:rsidR="00805F43" w:rsidRPr="00637256">
        <w:rPr>
          <w:sz w:val="22"/>
          <w:szCs w:val="22"/>
          <w:lang w:val="en-IE"/>
        </w:rPr>
        <w:t>.</w:t>
      </w:r>
    </w:p>
    <w:p w14:paraId="4FAED694" w14:textId="77777777" w:rsidR="006B6CEE" w:rsidRPr="0005003D" w:rsidRDefault="006B6CEE" w:rsidP="006B6CEE">
      <w:pPr>
        <w:rPr>
          <w:sz w:val="22"/>
          <w:szCs w:val="22"/>
          <w:lang w:val="en-GB"/>
        </w:rPr>
      </w:pPr>
    </w:p>
    <w:sectPr w:rsidR="006B6CEE" w:rsidRPr="0005003D" w:rsidSect="00C73EA0">
      <w:headerReference w:type="even" r:id="rId31"/>
      <w:headerReference w:type="default" r:id="rId32"/>
      <w:footerReference w:type="even" r:id="rId33"/>
      <w:footerReference w:type="default" r:id="rId34"/>
      <w:headerReference w:type="first" r:id="rId35"/>
      <w:footerReference w:type="first" r:id="rId36"/>
      <w:pgSz w:w="11906" w:h="16838"/>
      <w:pgMar w:top="1020" w:right="1701" w:bottom="1020" w:left="1587" w:header="601"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23B19" w14:textId="77777777" w:rsidR="001C16E9" w:rsidRDefault="001C16E9">
      <w:pPr>
        <w:spacing w:after="0"/>
      </w:pPr>
      <w:r>
        <w:separator/>
      </w:r>
    </w:p>
  </w:endnote>
  <w:endnote w:type="continuationSeparator" w:id="0">
    <w:p w14:paraId="45EF646C" w14:textId="77777777" w:rsidR="001C16E9" w:rsidRDefault="001C16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2DD3D" w14:textId="189D9F28" w:rsidR="007A6A8B" w:rsidRDefault="007A6A8B">
    <w:pPr>
      <w:pStyle w:val="FooterLine"/>
      <w:jc w:val="center"/>
    </w:pPr>
    <w:r>
      <w:fldChar w:fldCharType="begin"/>
    </w:r>
    <w:r>
      <w:instrText>PAGE   \* MERGEFORMAT</w:instrText>
    </w:r>
    <w:r>
      <w:fldChar w:fldCharType="separate"/>
    </w:r>
    <w:r w:rsidR="00EA12D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510D5" w14:textId="595A9D60" w:rsidR="007A6A8B" w:rsidRPr="00932927" w:rsidRDefault="00932927" w:rsidP="00932927">
    <w:pPr>
      <w:pStyle w:val="FooterLine"/>
      <w:rPr>
        <w:rFonts w:ascii="Times New Roman" w:hAnsi="Times New Roman"/>
        <w:lang w:val="en-IE"/>
      </w:rPr>
    </w:pPr>
    <w:r w:rsidRPr="00932927">
      <w:rPr>
        <w:rFonts w:ascii="Times New Roman" w:hAnsi="Times New Roman"/>
        <w:lang w:val="en-IE"/>
      </w:rPr>
      <w:t>2021</w:t>
    </w:r>
    <w:r w:rsidR="00D04EE4">
      <w:rPr>
        <w:rFonts w:ascii="Times New Roman" w:hAnsi="Times New Roman"/>
        <w:lang w:val="en-IE"/>
      </w:rPr>
      <w:t>.1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377029"/>
      <w:docPartObj>
        <w:docPartGallery w:val="Page Numbers (Bottom of Page)"/>
        <w:docPartUnique/>
      </w:docPartObj>
    </w:sdtPr>
    <w:sdtEndPr>
      <w:rPr>
        <w:noProof/>
      </w:rPr>
    </w:sdtEndPr>
    <w:sdtContent>
      <w:p w14:paraId="43CAD357" w14:textId="77777777" w:rsidR="007A6A8B" w:rsidRDefault="007A6A8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71A77C9" w14:textId="77777777" w:rsidR="007A6A8B" w:rsidRDefault="007A6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C5252" w14:textId="77777777" w:rsidR="001C16E9" w:rsidRDefault="001C16E9">
      <w:pPr>
        <w:spacing w:after="0"/>
      </w:pPr>
      <w:r>
        <w:separator/>
      </w:r>
    </w:p>
  </w:footnote>
  <w:footnote w:type="continuationSeparator" w:id="0">
    <w:p w14:paraId="51507C0B" w14:textId="77777777" w:rsidR="001C16E9" w:rsidRDefault="001C16E9">
      <w:pPr>
        <w:spacing w:after="0"/>
      </w:pPr>
      <w:r>
        <w:continuationSeparator/>
      </w:r>
    </w:p>
  </w:footnote>
  <w:footnote w:id="1">
    <w:p w14:paraId="0496FD58" w14:textId="6BBBF38E" w:rsidR="007A6A8B" w:rsidRPr="007A7C48" w:rsidRDefault="007A6A8B" w:rsidP="00891926">
      <w:pPr>
        <w:pStyle w:val="FootnoteText"/>
        <w:ind w:left="0" w:firstLine="0"/>
        <w:rPr>
          <w:lang w:val="en-GB"/>
        </w:rPr>
      </w:pPr>
      <w:r w:rsidRPr="007A7C48">
        <w:rPr>
          <w:rStyle w:val="FootnoteReference"/>
        </w:rPr>
        <w:footnoteRef/>
      </w:r>
      <w:r w:rsidRPr="007A7C48">
        <w:rPr>
          <w:lang w:val="en-GB"/>
        </w:rPr>
        <w:t xml:space="preserve"> </w:t>
      </w:r>
      <w:r w:rsidRPr="00393CF8">
        <w:rPr>
          <w:highlight w:val="lightGray"/>
          <w:lang w:val="en-GB"/>
        </w:rPr>
        <w:t>Reference to partner countries is deem also to encompass IPA beneficiaries listed in: Annex I and II of Council Regulation (EC) No 1085/2006 of 17 July 2006 establishing an Instrument for Pre-Accession Assistance (IPA) OJ L 210, 31.7.2006, p. 82; Annex I of Regulation (EU) No 231/2014 of the European Parliament and of the Council of 11 March 2014 establishing an Instrument for Pre-accession Assistance (IPA II) (OJ L 77, 15.3.2014, p. 11), Annex I of  Regulation (EU) 2021/1529 of the European Parliament and of the Council of 15 September 2021 establishing the Instrument for Pre-Accession assistance (IPA III) (OJ L 330, 20.9.2021) and the beneficiaries of the forthcoming instruments for pre-accession assistance</w:t>
      </w:r>
      <w:r w:rsidR="00C43897" w:rsidRPr="00393CF8">
        <w:rPr>
          <w:highlight w:val="lightGray"/>
          <w:lang w:val="en-GB"/>
        </w:rPr>
        <w:t>.</w:t>
      </w:r>
    </w:p>
  </w:footnote>
  <w:footnote w:id="2">
    <w:p w14:paraId="70D5A532" w14:textId="6E534564" w:rsidR="00BE4F18" w:rsidRPr="00BE4F18" w:rsidRDefault="00BE4F18" w:rsidP="00BE4F18">
      <w:pPr>
        <w:pStyle w:val="FootnoteText"/>
        <w:ind w:left="0" w:firstLine="0"/>
        <w:rPr>
          <w:lang w:val="en-GB"/>
        </w:rPr>
      </w:pPr>
      <w:r>
        <w:rPr>
          <w:rStyle w:val="FootnoteReference"/>
        </w:rPr>
        <w:footnoteRef/>
      </w:r>
      <w:r w:rsidRPr="00BE4F18">
        <w:rPr>
          <w:lang w:val="en-GB"/>
        </w:rPr>
        <w:t xml:space="preserve"> As from 2021, shared management is no longer used in the area of Neighbourhood and Enlargement policies managed by DG NEAR. In the Enlargement region, CBC programmes between IPA countries and member States are managed by DG REGIO.</w:t>
      </w:r>
    </w:p>
  </w:footnote>
  <w:footnote w:id="3">
    <w:p w14:paraId="750BF98A" w14:textId="5B0628D3" w:rsidR="00E53340" w:rsidRPr="00901810" w:rsidRDefault="00E53340" w:rsidP="00901810">
      <w:pPr>
        <w:pStyle w:val="FootnoteText"/>
        <w:rPr>
          <w:lang w:val="en-GB"/>
        </w:rPr>
      </w:pPr>
      <w:r w:rsidRPr="00E42AB3">
        <w:rPr>
          <w:rStyle w:val="FootnoteReference"/>
        </w:rPr>
        <w:footnoteRef/>
      </w:r>
      <w:r w:rsidRPr="00901810">
        <w:rPr>
          <w:lang w:val="en-IE"/>
        </w:rPr>
        <w:tab/>
        <w:t xml:space="preserve">You can also refer to </w:t>
      </w:r>
      <w:r w:rsidRPr="00E42AB3">
        <w:rPr>
          <w:lang w:val="en-IE"/>
        </w:rPr>
        <w:t xml:space="preserve">the </w:t>
      </w:r>
      <w:r w:rsidRPr="00E42AB3">
        <w:rPr>
          <w:lang w:val="en-GB"/>
        </w:rPr>
        <w:t xml:space="preserve">EU Funding and Tenders - Rules for Legal Entity Validation, LEAR Appointment and Financial Capacity Assessment, available on the </w:t>
      </w:r>
      <w:r w:rsidR="004F03F9" w:rsidRPr="00E42AB3">
        <w:rPr>
          <w:lang w:val="en-GB"/>
        </w:rPr>
        <w:t>Commission’s Funding and Tenders webpage.</w:t>
      </w:r>
    </w:p>
  </w:footnote>
  <w:footnote w:id="4">
    <w:p w14:paraId="1B895462" w14:textId="47A33DCE" w:rsidR="00687E93" w:rsidRPr="007A7C48" w:rsidRDefault="00687E93">
      <w:pPr>
        <w:pStyle w:val="FootnoteText"/>
        <w:rPr>
          <w:lang w:val="en-IE"/>
        </w:rPr>
      </w:pPr>
      <w:r w:rsidRPr="007A7C48">
        <w:rPr>
          <w:rStyle w:val="FootnoteReference"/>
        </w:rPr>
        <w:footnoteRef/>
      </w:r>
      <w:r w:rsidRPr="007A7C48">
        <w:rPr>
          <w:lang w:val="en-IE"/>
        </w:rPr>
        <w:t xml:space="preserve"> </w:t>
      </w:r>
      <w:r w:rsidRPr="007A7C48">
        <w:rPr>
          <w:lang w:val="en-IE"/>
        </w:rPr>
        <w:tab/>
        <w:t xml:space="preserve">As supplemented by the ‘EPF Implementing Rules’ published on the </w:t>
      </w:r>
      <w:hyperlink r:id="rId1" w:history="1">
        <w:r w:rsidRPr="007A7C48">
          <w:rPr>
            <w:rStyle w:val="Hyperlink"/>
            <w:lang w:val="en-IE"/>
          </w:rPr>
          <w:t>Public Register of the Council of the European Union</w:t>
        </w:r>
      </w:hyperlink>
      <w:r w:rsidRPr="007A7C48">
        <w:rPr>
          <w:lang w:val="en-IE"/>
        </w:rPr>
        <w:t>.</w:t>
      </w:r>
    </w:p>
  </w:footnote>
  <w:footnote w:id="5">
    <w:p w14:paraId="1E9EC4D8" w14:textId="0D350291" w:rsidR="007A6A8B" w:rsidRPr="007A7C48" w:rsidRDefault="007A6A8B">
      <w:pPr>
        <w:pStyle w:val="FootnoteText"/>
        <w:rPr>
          <w:lang w:val="en-GB"/>
        </w:rPr>
      </w:pPr>
      <w:r w:rsidRPr="007A7C48">
        <w:rPr>
          <w:rStyle w:val="FootnoteReference"/>
        </w:rPr>
        <w:footnoteRef/>
      </w:r>
      <w:r w:rsidRPr="007A7C48">
        <w:rPr>
          <w:lang w:val="en-GB"/>
        </w:rPr>
        <w:t xml:space="preserve"> </w:t>
      </w:r>
      <w:r w:rsidR="007A7C48" w:rsidRPr="007A7C48">
        <w:rPr>
          <w:lang w:val="en-GB"/>
        </w:rPr>
        <w:tab/>
      </w:r>
      <w:r w:rsidRPr="007A7C48">
        <w:rPr>
          <w:lang w:val="en-GB"/>
        </w:rPr>
        <w:t>Staff encompasses all staff categories: officials, contractual agents, local staff,</w:t>
      </w:r>
    </w:p>
  </w:footnote>
  <w:footnote w:id="6">
    <w:p w14:paraId="4BF246EB" w14:textId="05E212AD" w:rsidR="007A6A8B" w:rsidRPr="00C43897" w:rsidRDefault="007A6A8B">
      <w:pPr>
        <w:pStyle w:val="FootnoteText"/>
        <w:rPr>
          <w:lang w:val="en-IE"/>
        </w:rPr>
      </w:pPr>
      <w:r w:rsidRPr="007A7C48">
        <w:rPr>
          <w:rStyle w:val="FootnoteReference"/>
          <w:lang w:val="en-GB"/>
        </w:rPr>
        <w:footnoteRef/>
      </w:r>
      <w:r w:rsidRPr="007A7C48">
        <w:rPr>
          <w:lang w:val="en-GB"/>
        </w:rPr>
        <w:t xml:space="preserve"> </w:t>
      </w:r>
      <w:r w:rsidRPr="007A7C48">
        <w:rPr>
          <w:lang w:val="en-GB"/>
        </w:rPr>
        <w:tab/>
        <w:t xml:space="preserve">Common Commission-Level Retention List (CRL) of the European Commission - Annex 1 to </w:t>
      </w:r>
      <w:proofErr w:type="gramStart"/>
      <w:r w:rsidRPr="007A7C48">
        <w:rPr>
          <w:lang w:val="en-GB"/>
        </w:rPr>
        <w:t>SEC(</w:t>
      </w:r>
      <w:proofErr w:type="gramEnd"/>
      <w:r w:rsidRPr="007A7C48">
        <w:rPr>
          <w:lang w:val="en-GB"/>
        </w:rPr>
        <w:t>2019)900.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2CB69" w14:textId="77777777" w:rsidR="00D04EE4" w:rsidRDefault="00D04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80FF6" w14:textId="77777777" w:rsidR="00D04EE4" w:rsidRDefault="00D04E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9B535" w14:textId="77777777" w:rsidR="00D04EE4" w:rsidRDefault="00D04E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74E6"/>
    <w:multiLevelType w:val="hybridMultilevel"/>
    <w:tmpl w:val="81A05D90"/>
    <w:lvl w:ilvl="0" w:tplc="F22ABD0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A4C6F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C7C1937"/>
    <w:multiLevelType w:val="hybridMultilevel"/>
    <w:tmpl w:val="740C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5EA508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DB10948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66ED5E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428E963C"/>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E94458D8"/>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697"/>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79D133A"/>
    <w:multiLevelType w:val="hybridMultilevel"/>
    <w:tmpl w:val="813C5E6A"/>
    <w:lvl w:ilvl="0" w:tplc="DF7C20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7B624F"/>
    <w:multiLevelType w:val="multilevel"/>
    <w:tmpl w:val="8174ABE0"/>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ED654C"/>
    <w:multiLevelType w:val="hybridMultilevel"/>
    <w:tmpl w:val="B5306B2A"/>
    <w:lvl w:ilvl="0" w:tplc="3D460D9E">
      <w:start w:val="6"/>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F91EEA"/>
    <w:multiLevelType w:val="hybridMultilevel"/>
    <w:tmpl w:val="4260C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B73602"/>
    <w:multiLevelType w:val="hybridMultilevel"/>
    <w:tmpl w:val="F50A0A46"/>
    <w:lvl w:ilvl="0" w:tplc="4FA6FB80">
      <w:start w:val="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FDF8"/>
    <w:multiLevelType w:val="multilevel"/>
    <w:tmpl w:val="F618AE3C"/>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FD7ADE6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F1C74DD"/>
    <w:multiLevelType w:val="hybridMultilevel"/>
    <w:tmpl w:val="3D265F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11A7CE4"/>
    <w:multiLevelType w:val="hybridMultilevel"/>
    <w:tmpl w:val="272E912E"/>
    <w:lvl w:ilvl="0" w:tplc="1C32F066">
      <w:numFmt w:val="bullet"/>
      <w:lvlText w:val="-"/>
      <w:lvlJc w:val="left"/>
      <w:pPr>
        <w:ind w:left="360" w:hanging="360"/>
      </w:pPr>
      <w:rPr>
        <w:rFonts w:ascii="Calibri" w:eastAsia="Calibri"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15:restartNumberingAfterBreak="0">
    <w:nsid w:val="345B3581"/>
    <w:multiLevelType w:val="hybridMultilevel"/>
    <w:tmpl w:val="CB4CBC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ED1319"/>
    <w:multiLevelType w:val="hybridMultilevel"/>
    <w:tmpl w:val="C26090B0"/>
    <w:lvl w:ilvl="0" w:tplc="FCA26386">
      <w:start w:val="2"/>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36324F1E"/>
    <w:multiLevelType w:val="multilevel"/>
    <w:tmpl w:val="3C76042C"/>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37CB1E1C"/>
    <w:multiLevelType w:val="multilevel"/>
    <w:tmpl w:val="4CF4939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3A016566"/>
    <w:multiLevelType w:val="hybridMultilevel"/>
    <w:tmpl w:val="D018A31C"/>
    <w:lvl w:ilvl="0" w:tplc="BB9E2A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7730C4"/>
    <w:multiLevelType w:val="multilevel"/>
    <w:tmpl w:val="D27EB9EC"/>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0FE0B04"/>
    <w:multiLevelType w:val="hybridMultilevel"/>
    <w:tmpl w:val="7E784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9E662A"/>
    <w:multiLevelType w:val="multilevel"/>
    <w:tmpl w:val="B74440CA"/>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43BA7CC1"/>
    <w:multiLevelType w:val="hybridMultilevel"/>
    <w:tmpl w:val="267250A4"/>
    <w:lvl w:ilvl="0" w:tplc="06B22E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1A982C"/>
    <w:multiLevelType w:val="multilevel"/>
    <w:tmpl w:val="3C6ED7D6"/>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5072619B"/>
    <w:multiLevelType w:val="multilevel"/>
    <w:tmpl w:val="BE2AE232"/>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52C22734"/>
    <w:multiLevelType w:val="hybridMultilevel"/>
    <w:tmpl w:val="873A48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3095513"/>
    <w:multiLevelType w:val="hybridMultilevel"/>
    <w:tmpl w:val="908E06EA"/>
    <w:lvl w:ilvl="0" w:tplc="9446DDB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EF1284"/>
    <w:multiLevelType w:val="hybridMultilevel"/>
    <w:tmpl w:val="ABEC2808"/>
    <w:lvl w:ilvl="0" w:tplc="3D460D9E">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E13A72"/>
    <w:multiLevelType w:val="hybridMultilevel"/>
    <w:tmpl w:val="B9A0DA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977472E"/>
    <w:multiLevelType w:val="multilevel"/>
    <w:tmpl w:val="5AF02FE6"/>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6A8A036A"/>
    <w:multiLevelType w:val="hybridMultilevel"/>
    <w:tmpl w:val="38F2E424"/>
    <w:lvl w:ilvl="0" w:tplc="BBF894BA">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213F7E"/>
    <w:multiLevelType w:val="hybridMultilevel"/>
    <w:tmpl w:val="B99401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A8E5F0E"/>
    <w:multiLevelType w:val="hybridMultilevel"/>
    <w:tmpl w:val="E5B88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65145E"/>
    <w:multiLevelType w:val="multilevel"/>
    <w:tmpl w:val="B0D4507C"/>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601"/>
      </w:pPr>
    </w:lvl>
    <w:lvl w:ilvl="2">
      <w:start w:val="1"/>
      <w:numFmt w:val="decimal"/>
      <w:pStyle w:val="Heading3"/>
      <w:lvlText w:val="%1.%2.%3."/>
      <w:lvlJc w:val="left"/>
      <w:pPr>
        <w:tabs>
          <w:tab w:val="num" w:pos="1922"/>
        </w:tabs>
        <w:ind w:left="1922" w:hanging="839"/>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num w:numId="1">
    <w:abstractNumId w:val="1"/>
  </w:num>
  <w:num w:numId="2">
    <w:abstractNumId w:val="20"/>
  </w:num>
  <w:num w:numId="3">
    <w:abstractNumId w:val="10"/>
  </w:num>
  <w:num w:numId="4">
    <w:abstractNumId w:val="21"/>
  </w:num>
  <w:num w:numId="5">
    <w:abstractNumId w:val="28"/>
  </w:num>
  <w:num w:numId="6">
    <w:abstractNumId w:val="33"/>
  </w:num>
  <w:num w:numId="7">
    <w:abstractNumId w:val="3"/>
  </w:num>
  <w:num w:numId="8">
    <w:abstractNumId w:val="8"/>
  </w:num>
  <w:num w:numId="9">
    <w:abstractNumId w:val="25"/>
  </w:num>
  <w:num w:numId="10">
    <w:abstractNumId w:val="4"/>
  </w:num>
  <w:num w:numId="11">
    <w:abstractNumId w:val="5"/>
  </w:num>
  <w:num w:numId="12">
    <w:abstractNumId w:val="6"/>
  </w:num>
  <w:num w:numId="13">
    <w:abstractNumId w:val="14"/>
  </w:num>
  <w:num w:numId="14">
    <w:abstractNumId w:val="23"/>
  </w:num>
  <w:num w:numId="15">
    <w:abstractNumId w:val="27"/>
  </w:num>
  <w:num w:numId="16">
    <w:abstractNumId w:val="37"/>
  </w:num>
  <w:num w:numId="17">
    <w:abstractNumId w:val="15"/>
  </w:num>
  <w:num w:numId="18">
    <w:abstractNumId w:val="24"/>
  </w:num>
  <w:num w:numId="19">
    <w:abstractNumId w:val="2"/>
  </w:num>
  <w:num w:numId="20">
    <w:abstractNumId w:val="29"/>
  </w:num>
  <w:num w:numId="21">
    <w:abstractNumId w:val="35"/>
  </w:num>
  <w:num w:numId="22">
    <w:abstractNumId w:val="7"/>
  </w:num>
  <w:num w:numId="23">
    <w:abstractNumId w:val="19"/>
  </w:num>
  <w:num w:numId="24">
    <w:abstractNumId w:val="9"/>
  </w:num>
  <w:num w:numId="25">
    <w:abstractNumId w:val="26"/>
  </w:num>
  <w:num w:numId="26">
    <w:abstractNumId w:val="22"/>
  </w:num>
  <w:num w:numId="27">
    <w:abstractNumId w:val="17"/>
  </w:num>
  <w:num w:numId="28">
    <w:abstractNumId w:val="11"/>
  </w:num>
  <w:num w:numId="29">
    <w:abstractNumId w:val="31"/>
  </w:num>
  <w:num w:numId="30">
    <w:abstractNumId w:val="30"/>
  </w:num>
  <w:num w:numId="31">
    <w:abstractNumId w:val="13"/>
  </w:num>
  <w:num w:numId="32">
    <w:abstractNumId w:val="16"/>
  </w:num>
  <w:num w:numId="33">
    <w:abstractNumId w:val="36"/>
  </w:num>
  <w:num w:numId="34">
    <w:abstractNumId w:val="34"/>
  </w:num>
  <w:num w:numId="35">
    <w:abstractNumId w:val="12"/>
  </w:num>
  <w:num w:numId="36">
    <w:abstractNumId w:val="0"/>
  </w:num>
  <w:num w:numId="37">
    <w:abstractNumId w:val="18"/>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proofState w:spelling="clean" w:grammar="clean"/>
  <w:attachedTemplate r:id="rId1"/>
  <w:defaultTabStop w:val="720"/>
  <w:hyphenationZone w:val="425"/>
  <w:evenAndOddHeaders/>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UROLOOK"/>
  </w:docVars>
  <w:rsids>
    <w:rsidRoot w:val="00C73EA0"/>
    <w:rsid w:val="00007FE6"/>
    <w:rsid w:val="00010498"/>
    <w:rsid w:val="00023ECE"/>
    <w:rsid w:val="0003020D"/>
    <w:rsid w:val="00031BEE"/>
    <w:rsid w:val="0003210D"/>
    <w:rsid w:val="00037A71"/>
    <w:rsid w:val="00037F12"/>
    <w:rsid w:val="000401E1"/>
    <w:rsid w:val="00040F6F"/>
    <w:rsid w:val="00044F9C"/>
    <w:rsid w:val="0005003D"/>
    <w:rsid w:val="0007017E"/>
    <w:rsid w:val="00081876"/>
    <w:rsid w:val="0008433E"/>
    <w:rsid w:val="0008443C"/>
    <w:rsid w:val="0009417A"/>
    <w:rsid w:val="000951A8"/>
    <w:rsid w:val="000A1E9A"/>
    <w:rsid w:val="000A2717"/>
    <w:rsid w:val="000B49F5"/>
    <w:rsid w:val="000B64F6"/>
    <w:rsid w:val="000E701E"/>
    <w:rsid w:val="000F20C4"/>
    <w:rsid w:val="001010EC"/>
    <w:rsid w:val="00106331"/>
    <w:rsid w:val="00106A71"/>
    <w:rsid w:val="00112654"/>
    <w:rsid w:val="00140DC4"/>
    <w:rsid w:val="00153C7B"/>
    <w:rsid w:val="00167485"/>
    <w:rsid w:val="00172BD7"/>
    <w:rsid w:val="00172D8D"/>
    <w:rsid w:val="0017483E"/>
    <w:rsid w:val="00182F6F"/>
    <w:rsid w:val="001A21E6"/>
    <w:rsid w:val="001A4626"/>
    <w:rsid w:val="001C16E9"/>
    <w:rsid w:val="001C7A1C"/>
    <w:rsid w:val="001D10BD"/>
    <w:rsid w:val="001D4383"/>
    <w:rsid w:val="001E136E"/>
    <w:rsid w:val="001F08DA"/>
    <w:rsid w:val="001F3CC2"/>
    <w:rsid w:val="001F3D4E"/>
    <w:rsid w:val="001F3F1D"/>
    <w:rsid w:val="00200C71"/>
    <w:rsid w:val="00205257"/>
    <w:rsid w:val="002153C8"/>
    <w:rsid w:val="00220532"/>
    <w:rsid w:val="002206EC"/>
    <w:rsid w:val="00230CA3"/>
    <w:rsid w:val="00247E07"/>
    <w:rsid w:val="00252EC5"/>
    <w:rsid w:val="00263675"/>
    <w:rsid w:val="0026775C"/>
    <w:rsid w:val="00273218"/>
    <w:rsid w:val="00277028"/>
    <w:rsid w:val="002868C7"/>
    <w:rsid w:val="00296561"/>
    <w:rsid w:val="002A1F2A"/>
    <w:rsid w:val="002B17DC"/>
    <w:rsid w:val="002B717A"/>
    <w:rsid w:val="002C0DB6"/>
    <w:rsid w:val="002C1A9B"/>
    <w:rsid w:val="002C3C2B"/>
    <w:rsid w:val="002E039C"/>
    <w:rsid w:val="002F31DA"/>
    <w:rsid w:val="002F6B41"/>
    <w:rsid w:val="003019CC"/>
    <w:rsid w:val="00301F50"/>
    <w:rsid w:val="0032306C"/>
    <w:rsid w:val="00342821"/>
    <w:rsid w:val="003462FB"/>
    <w:rsid w:val="003503E7"/>
    <w:rsid w:val="0035068D"/>
    <w:rsid w:val="003666E4"/>
    <w:rsid w:val="003671DD"/>
    <w:rsid w:val="0037064F"/>
    <w:rsid w:val="00374C89"/>
    <w:rsid w:val="003818F8"/>
    <w:rsid w:val="00390EF3"/>
    <w:rsid w:val="00393CF8"/>
    <w:rsid w:val="00397831"/>
    <w:rsid w:val="003A3A25"/>
    <w:rsid w:val="003B19C3"/>
    <w:rsid w:val="003C3E5F"/>
    <w:rsid w:val="003D1A79"/>
    <w:rsid w:val="003E480E"/>
    <w:rsid w:val="003E6CC6"/>
    <w:rsid w:val="003E7B52"/>
    <w:rsid w:val="003F2854"/>
    <w:rsid w:val="00424869"/>
    <w:rsid w:val="004255B7"/>
    <w:rsid w:val="00426C82"/>
    <w:rsid w:val="00434056"/>
    <w:rsid w:val="0043551C"/>
    <w:rsid w:val="004439E1"/>
    <w:rsid w:val="00457505"/>
    <w:rsid w:val="00457C35"/>
    <w:rsid w:val="00467014"/>
    <w:rsid w:val="004672C9"/>
    <w:rsid w:val="00472365"/>
    <w:rsid w:val="00473467"/>
    <w:rsid w:val="00482C2E"/>
    <w:rsid w:val="00483552"/>
    <w:rsid w:val="00487FB0"/>
    <w:rsid w:val="0049014D"/>
    <w:rsid w:val="00497EB6"/>
    <w:rsid w:val="004A22A2"/>
    <w:rsid w:val="004A24FC"/>
    <w:rsid w:val="004A26D0"/>
    <w:rsid w:val="004A716B"/>
    <w:rsid w:val="004B23D6"/>
    <w:rsid w:val="004B2EBD"/>
    <w:rsid w:val="004C1CFF"/>
    <w:rsid w:val="004C3009"/>
    <w:rsid w:val="004C549F"/>
    <w:rsid w:val="004D7EFA"/>
    <w:rsid w:val="004F03F9"/>
    <w:rsid w:val="005061DE"/>
    <w:rsid w:val="00514F44"/>
    <w:rsid w:val="00524A3A"/>
    <w:rsid w:val="00524F08"/>
    <w:rsid w:val="00531B3E"/>
    <w:rsid w:val="005436B9"/>
    <w:rsid w:val="00543AB8"/>
    <w:rsid w:val="00552F2F"/>
    <w:rsid w:val="00557F2D"/>
    <w:rsid w:val="0056481A"/>
    <w:rsid w:val="005724BD"/>
    <w:rsid w:val="00574C77"/>
    <w:rsid w:val="005877C4"/>
    <w:rsid w:val="00591D27"/>
    <w:rsid w:val="00596BB0"/>
    <w:rsid w:val="005A3CC8"/>
    <w:rsid w:val="005B08F4"/>
    <w:rsid w:val="005C07C0"/>
    <w:rsid w:val="005C139E"/>
    <w:rsid w:val="005C6E66"/>
    <w:rsid w:val="005D56C7"/>
    <w:rsid w:val="005D77E6"/>
    <w:rsid w:val="005E1E64"/>
    <w:rsid w:val="006016AE"/>
    <w:rsid w:val="0061032A"/>
    <w:rsid w:val="00630538"/>
    <w:rsid w:val="00636EE5"/>
    <w:rsid w:val="00637256"/>
    <w:rsid w:val="00640978"/>
    <w:rsid w:val="00643EF7"/>
    <w:rsid w:val="00645CF6"/>
    <w:rsid w:val="00650856"/>
    <w:rsid w:val="0065187E"/>
    <w:rsid w:val="00655F28"/>
    <w:rsid w:val="00656CF5"/>
    <w:rsid w:val="00657AE1"/>
    <w:rsid w:val="00662BAE"/>
    <w:rsid w:val="00687E93"/>
    <w:rsid w:val="00694F28"/>
    <w:rsid w:val="006A36F2"/>
    <w:rsid w:val="006B6CEE"/>
    <w:rsid w:val="006C4BD2"/>
    <w:rsid w:val="006D1CEB"/>
    <w:rsid w:val="006D3091"/>
    <w:rsid w:val="006D5DF3"/>
    <w:rsid w:val="006E0B0E"/>
    <w:rsid w:val="006E5BE1"/>
    <w:rsid w:val="006F2151"/>
    <w:rsid w:val="00700C3D"/>
    <w:rsid w:val="00702EE4"/>
    <w:rsid w:val="00720150"/>
    <w:rsid w:val="007254EB"/>
    <w:rsid w:val="00751A00"/>
    <w:rsid w:val="0075636A"/>
    <w:rsid w:val="007654BD"/>
    <w:rsid w:val="00767A00"/>
    <w:rsid w:val="00771F40"/>
    <w:rsid w:val="00775396"/>
    <w:rsid w:val="00784265"/>
    <w:rsid w:val="00792A1F"/>
    <w:rsid w:val="007A1096"/>
    <w:rsid w:val="007A18DC"/>
    <w:rsid w:val="007A2B6A"/>
    <w:rsid w:val="007A6A8B"/>
    <w:rsid w:val="007A7C48"/>
    <w:rsid w:val="007B091A"/>
    <w:rsid w:val="007B7F6B"/>
    <w:rsid w:val="007C029A"/>
    <w:rsid w:val="007C1890"/>
    <w:rsid w:val="007D12DD"/>
    <w:rsid w:val="007E2E8A"/>
    <w:rsid w:val="007E33E8"/>
    <w:rsid w:val="007F195C"/>
    <w:rsid w:val="007F613F"/>
    <w:rsid w:val="008000D4"/>
    <w:rsid w:val="008002A8"/>
    <w:rsid w:val="00804474"/>
    <w:rsid w:val="00804F1B"/>
    <w:rsid w:val="00805F43"/>
    <w:rsid w:val="00807050"/>
    <w:rsid w:val="00827E1A"/>
    <w:rsid w:val="00831C12"/>
    <w:rsid w:val="008328AD"/>
    <w:rsid w:val="00833423"/>
    <w:rsid w:val="0084106C"/>
    <w:rsid w:val="0085771E"/>
    <w:rsid w:val="0086142B"/>
    <w:rsid w:val="00863412"/>
    <w:rsid w:val="00874788"/>
    <w:rsid w:val="00885217"/>
    <w:rsid w:val="00885565"/>
    <w:rsid w:val="00891926"/>
    <w:rsid w:val="00896480"/>
    <w:rsid w:val="008A23B5"/>
    <w:rsid w:val="008C02C5"/>
    <w:rsid w:val="008C2314"/>
    <w:rsid w:val="008C5AFF"/>
    <w:rsid w:val="008D23AB"/>
    <w:rsid w:val="008D3B6F"/>
    <w:rsid w:val="008E44B8"/>
    <w:rsid w:val="008E6EF6"/>
    <w:rsid w:val="008E7B5C"/>
    <w:rsid w:val="008F5233"/>
    <w:rsid w:val="00901810"/>
    <w:rsid w:val="009230AC"/>
    <w:rsid w:val="00932730"/>
    <w:rsid w:val="00932927"/>
    <w:rsid w:val="00932DD9"/>
    <w:rsid w:val="0093380C"/>
    <w:rsid w:val="0093397A"/>
    <w:rsid w:val="00943DA4"/>
    <w:rsid w:val="00946448"/>
    <w:rsid w:val="00946B51"/>
    <w:rsid w:val="009511AD"/>
    <w:rsid w:val="0095529B"/>
    <w:rsid w:val="00956F1A"/>
    <w:rsid w:val="00966116"/>
    <w:rsid w:val="009708DC"/>
    <w:rsid w:val="0097316E"/>
    <w:rsid w:val="00981CBB"/>
    <w:rsid w:val="009A0916"/>
    <w:rsid w:val="009A668B"/>
    <w:rsid w:val="009C76CC"/>
    <w:rsid w:val="009D331C"/>
    <w:rsid w:val="009D6DFC"/>
    <w:rsid w:val="009F3565"/>
    <w:rsid w:val="00A0789A"/>
    <w:rsid w:val="00A11E59"/>
    <w:rsid w:val="00A14593"/>
    <w:rsid w:val="00A24A5C"/>
    <w:rsid w:val="00A25741"/>
    <w:rsid w:val="00A3256D"/>
    <w:rsid w:val="00A36EBB"/>
    <w:rsid w:val="00A45CEF"/>
    <w:rsid w:val="00A5345F"/>
    <w:rsid w:val="00A54D55"/>
    <w:rsid w:val="00A73359"/>
    <w:rsid w:val="00A77833"/>
    <w:rsid w:val="00A81A77"/>
    <w:rsid w:val="00A90D93"/>
    <w:rsid w:val="00A92589"/>
    <w:rsid w:val="00AA2A1F"/>
    <w:rsid w:val="00AA7F3C"/>
    <w:rsid w:val="00AB6CF1"/>
    <w:rsid w:val="00AC09F7"/>
    <w:rsid w:val="00AC6144"/>
    <w:rsid w:val="00AC6ACE"/>
    <w:rsid w:val="00AE09CA"/>
    <w:rsid w:val="00AE1325"/>
    <w:rsid w:val="00AE2FD5"/>
    <w:rsid w:val="00AF0D9E"/>
    <w:rsid w:val="00B055A9"/>
    <w:rsid w:val="00B07870"/>
    <w:rsid w:val="00B26293"/>
    <w:rsid w:val="00B3469E"/>
    <w:rsid w:val="00B36326"/>
    <w:rsid w:val="00B44D66"/>
    <w:rsid w:val="00B465D7"/>
    <w:rsid w:val="00B513CC"/>
    <w:rsid w:val="00B5584B"/>
    <w:rsid w:val="00B6188B"/>
    <w:rsid w:val="00B63152"/>
    <w:rsid w:val="00B80D9C"/>
    <w:rsid w:val="00B91C6E"/>
    <w:rsid w:val="00BA3926"/>
    <w:rsid w:val="00BA456B"/>
    <w:rsid w:val="00BB1998"/>
    <w:rsid w:val="00BB67C1"/>
    <w:rsid w:val="00BC29B6"/>
    <w:rsid w:val="00BC2B6D"/>
    <w:rsid w:val="00BC59CE"/>
    <w:rsid w:val="00BD02E3"/>
    <w:rsid w:val="00BD307F"/>
    <w:rsid w:val="00BD40A1"/>
    <w:rsid w:val="00BD5920"/>
    <w:rsid w:val="00BE0DE8"/>
    <w:rsid w:val="00BE4F18"/>
    <w:rsid w:val="00BE6C61"/>
    <w:rsid w:val="00BF17CF"/>
    <w:rsid w:val="00BF1EA8"/>
    <w:rsid w:val="00C02F27"/>
    <w:rsid w:val="00C0656D"/>
    <w:rsid w:val="00C25D4E"/>
    <w:rsid w:val="00C26C1B"/>
    <w:rsid w:val="00C370F7"/>
    <w:rsid w:val="00C43897"/>
    <w:rsid w:val="00C501AA"/>
    <w:rsid w:val="00C52346"/>
    <w:rsid w:val="00C67C3C"/>
    <w:rsid w:val="00C72252"/>
    <w:rsid w:val="00C73EA0"/>
    <w:rsid w:val="00CC0F1C"/>
    <w:rsid w:val="00CC1069"/>
    <w:rsid w:val="00CD6762"/>
    <w:rsid w:val="00CE6A39"/>
    <w:rsid w:val="00CF17DB"/>
    <w:rsid w:val="00CF2C75"/>
    <w:rsid w:val="00D04EE4"/>
    <w:rsid w:val="00D066D7"/>
    <w:rsid w:val="00D0698B"/>
    <w:rsid w:val="00D12704"/>
    <w:rsid w:val="00D139D0"/>
    <w:rsid w:val="00D16C97"/>
    <w:rsid w:val="00D2079E"/>
    <w:rsid w:val="00D362D4"/>
    <w:rsid w:val="00D36F2E"/>
    <w:rsid w:val="00D41482"/>
    <w:rsid w:val="00D41A85"/>
    <w:rsid w:val="00D41D7F"/>
    <w:rsid w:val="00D4532B"/>
    <w:rsid w:val="00D55886"/>
    <w:rsid w:val="00D567E6"/>
    <w:rsid w:val="00D85353"/>
    <w:rsid w:val="00D86B79"/>
    <w:rsid w:val="00DA5508"/>
    <w:rsid w:val="00DA5895"/>
    <w:rsid w:val="00DB01C9"/>
    <w:rsid w:val="00DC50AD"/>
    <w:rsid w:val="00DD3BB9"/>
    <w:rsid w:val="00DE0A67"/>
    <w:rsid w:val="00DE58D6"/>
    <w:rsid w:val="00DF149E"/>
    <w:rsid w:val="00DF184A"/>
    <w:rsid w:val="00DF2F0F"/>
    <w:rsid w:val="00DF326A"/>
    <w:rsid w:val="00E02EB8"/>
    <w:rsid w:val="00E06004"/>
    <w:rsid w:val="00E11B64"/>
    <w:rsid w:val="00E139C9"/>
    <w:rsid w:val="00E1660F"/>
    <w:rsid w:val="00E17D81"/>
    <w:rsid w:val="00E279BA"/>
    <w:rsid w:val="00E42AB3"/>
    <w:rsid w:val="00E45A42"/>
    <w:rsid w:val="00E50527"/>
    <w:rsid w:val="00E53340"/>
    <w:rsid w:val="00E53966"/>
    <w:rsid w:val="00E5422D"/>
    <w:rsid w:val="00E56287"/>
    <w:rsid w:val="00E60AD9"/>
    <w:rsid w:val="00E672E2"/>
    <w:rsid w:val="00E729FB"/>
    <w:rsid w:val="00E771E2"/>
    <w:rsid w:val="00E84161"/>
    <w:rsid w:val="00E84852"/>
    <w:rsid w:val="00E86619"/>
    <w:rsid w:val="00EA12DF"/>
    <w:rsid w:val="00EB37D9"/>
    <w:rsid w:val="00ED2982"/>
    <w:rsid w:val="00EE3AC2"/>
    <w:rsid w:val="00EF16FE"/>
    <w:rsid w:val="00EF1C81"/>
    <w:rsid w:val="00F022C5"/>
    <w:rsid w:val="00F03A94"/>
    <w:rsid w:val="00F073CF"/>
    <w:rsid w:val="00F0779E"/>
    <w:rsid w:val="00F17665"/>
    <w:rsid w:val="00F220C8"/>
    <w:rsid w:val="00F25D16"/>
    <w:rsid w:val="00F30AE1"/>
    <w:rsid w:val="00F376B4"/>
    <w:rsid w:val="00F4408B"/>
    <w:rsid w:val="00F47B01"/>
    <w:rsid w:val="00F5603F"/>
    <w:rsid w:val="00F610D6"/>
    <w:rsid w:val="00F65231"/>
    <w:rsid w:val="00F66870"/>
    <w:rsid w:val="00F74026"/>
    <w:rsid w:val="00F751EF"/>
    <w:rsid w:val="00F767FD"/>
    <w:rsid w:val="00F76A5E"/>
    <w:rsid w:val="00F83E45"/>
    <w:rsid w:val="00F86B09"/>
    <w:rsid w:val="00F8704C"/>
    <w:rsid w:val="00F914AC"/>
    <w:rsid w:val="00F92901"/>
    <w:rsid w:val="00F95422"/>
    <w:rsid w:val="00FA000A"/>
    <w:rsid w:val="00FB2832"/>
    <w:rsid w:val="00FB2E82"/>
    <w:rsid w:val="00FC10D8"/>
    <w:rsid w:val="00FC54AB"/>
    <w:rsid w:val="00FC5EE5"/>
    <w:rsid w:val="00FD4AC8"/>
    <w:rsid w:val="00FD71AB"/>
    <w:rsid w:val="00FE3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5E5624A"/>
  <w15:docId w15:val="{D6F051A7-3190-4670-909F-2A9E7E19D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BE" w:eastAsia="fr-BE" w:bidi="ar-SA"/>
      </w:rPr>
    </w:rPrDefault>
    <w:pPrDefault/>
  </w:docDefaults>
  <w:latentStyles w:defLockedState="1" w:defUIPriority="0" w:defSemiHidden="0" w:defUnhideWhenUsed="0" w:defQFormat="0" w:count="371">
    <w:lsdException w:name="Normal" w:uiPriority="90" w:qFormat="1"/>
    <w:lsdException w:name="heading 1" w:uiPriority="90" w:qFormat="1"/>
    <w:lsdException w:name="heading 2" w:uiPriority="90" w:qFormat="1"/>
    <w:lsdException w:name="heading 3" w:uiPriority="90" w:qFormat="1"/>
    <w:lsdException w:name="heading 4" w:uiPriority="90" w:qFormat="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2" w:semiHidden="1" w:unhideWhenUsed="1"/>
    <w:lsdException w:name="List 3" w:semiHidden="1" w:unhideWhenUsed="1"/>
    <w:lsdException w:name="List 4" w:semiHidden="1"/>
    <w:lsdException w:name="List 5" w:semiHidden="1"/>
    <w:lsdException w:name="List Bullet 2" w:unhideWhenUsed="1"/>
    <w:lsdException w:name="List Bullet 3" w:unhideWhenUsed="1"/>
    <w:lsdException w:name="List Bullet 4" w:unhideWhenUsed="1"/>
    <w:lsdException w:name="List Bullet 5" w:semiHidden="1" w:unhideWhenUsed="1"/>
    <w:lsdException w:name="List Number 2" w:unhideWhenUsed="1"/>
    <w:lsdException w:name="List Number 3" w:unhideWhenUsed="1"/>
    <w:lsdException w:name="List Number 4" w:unhideWhenUsed="1"/>
    <w:lsdException w:name="List Number 5" w:semiHidden="1" w:unhideWhenUsed="1"/>
    <w:lsdException w:name="Closing" w:unhideWhenUsed="1"/>
    <w:lsdException w:name="Signature"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Body Text First Indent" w:semiHidden="1"/>
    <w:lsdException w:name="Body Text First Indent 2" w:semiHidden="1" w:unhideWhenUsed="1"/>
    <w:lsdException w:name="Note Heading"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90"/>
    <w:qFormat/>
    <w:pPr>
      <w:spacing w:after="240"/>
      <w:jc w:val="both"/>
    </w:pPr>
  </w:style>
  <w:style w:type="paragraph" w:styleId="Heading1">
    <w:name w:val="heading 1"/>
    <w:basedOn w:val="Normal"/>
    <w:next w:val="Text1"/>
    <w:uiPriority w:val="90"/>
    <w:qFormat/>
    <w:pPr>
      <w:keepNext/>
      <w:numPr>
        <w:numId w:val="16"/>
      </w:numPr>
      <w:spacing w:before="240"/>
      <w:outlineLvl w:val="0"/>
    </w:pPr>
    <w:rPr>
      <w:b/>
      <w:smallCaps/>
    </w:rPr>
  </w:style>
  <w:style w:type="paragraph" w:styleId="Heading2">
    <w:name w:val="heading 2"/>
    <w:basedOn w:val="Normal"/>
    <w:next w:val="Text2"/>
    <w:uiPriority w:val="90"/>
    <w:qFormat/>
    <w:pPr>
      <w:keepNext/>
      <w:numPr>
        <w:ilvl w:val="1"/>
        <w:numId w:val="16"/>
      </w:numPr>
      <w:outlineLvl w:val="1"/>
    </w:pPr>
    <w:rPr>
      <w:b/>
    </w:rPr>
  </w:style>
  <w:style w:type="paragraph" w:styleId="Heading3">
    <w:name w:val="heading 3"/>
    <w:basedOn w:val="Normal"/>
    <w:next w:val="Text3"/>
    <w:uiPriority w:val="90"/>
    <w:qFormat/>
    <w:pPr>
      <w:keepNext/>
      <w:numPr>
        <w:ilvl w:val="2"/>
        <w:numId w:val="16"/>
      </w:numPr>
      <w:outlineLvl w:val="2"/>
    </w:pPr>
    <w:rPr>
      <w:i/>
    </w:rPr>
  </w:style>
  <w:style w:type="paragraph" w:styleId="Heading4">
    <w:name w:val="heading 4"/>
    <w:basedOn w:val="Normal"/>
    <w:next w:val="Text4"/>
    <w:uiPriority w:val="90"/>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paragraph" w:customStyle="1" w:styleId="Text4">
    <w:name w:val="Text 4"/>
    <w:basedOn w:val="Normal"/>
    <w:uiPriority w:val="90"/>
    <w:qFormat/>
    <w:pPr>
      <w:ind w:left="2880"/>
    </w:pPr>
  </w:style>
  <w:style w:type="paragraph" w:customStyle="1" w:styleId="Text3">
    <w:name w:val="Text 3"/>
    <w:basedOn w:val="Normal"/>
    <w:uiPriority w:val="90"/>
    <w:qFormat/>
    <w:pPr>
      <w:ind w:left="1916"/>
    </w:pPr>
  </w:style>
  <w:style w:type="paragraph" w:customStyle="1" w:styleId="Text2">
    <w:name w:val="Text 2"/>
    <w:basedOn w:val="Normal"/>
    <w:uiPriority w:val="90"/>
    <w:qFormat/>
    <w:pPr>
      <w:ind w:left="1077"/>
    </w:pPr>
  </w:style>
  <w:style w:type="paragraph" w:customStyle="1" w:styleId="Text1">
    <w:name w:val="Text 1"/>
    <w:basedOn w:val="Normal"/>
    <w:uiPriority w:val="90"/>
    <w:qFormat/>
    <w:pPr>
      <w:ind w:left="482"/>
    </w:pPr>
  </w:style>
  <w:style w:type="paragraph" w:customStyle="1" w:styleId="ZFlag">
    <w:name w:val="Z_Flag"/>
    <w:basedOn w:val="Normal"/>
    <w:next w:val="Normal"/>
    <w:uiPriority w:val="99"/>
    <w:semiHidden/>
    <w:pPr>
      <w:widowControl w:val="0"/>
      <w:spacing w:after="0"/>
      <w:ind w:right="85"/>
    </w:pPr>
    <w:rPr>
      <w:rFonts w:ascii="Arial" w:hAnsi="Arial"/>
    </w:rPr>
  </w:style>
  <w:style w:type="paragraph" w:customStyle="1" w:styleId="ZCom">
    <w:name w:val="Z_Com"/>
    <w:basedOn w:val="Normal"/>
    <w:next w:val="Normal"/>
    <w:uiPriority w:val="99"/>
    <w:semiHidden/>
    <w:pPr>
      <w:widowControl w:val="0"/>
      <w:spacing w:before="90" w:after="0"/>
      <w:ind w:right="85"/>
    </w:pPr>
    <w:rPr>
      <w:rFonts w:ascii="Arial" w:hAnsi="Arial"/>
    </w:rPr>
  </w:style>
  <w:style w:type="paragraph" w:customStyle="1" w:styleId="ZDGName">
    <w:name w:val="Z_DGName"/>
    <w:basedOn w:val="Normal"/>
    <w:uiPriority w:val="99"/>
    <w:semiHidden/>
    <w:pPr>
      <w:widowControl w:val="0"/>
      <w:spacing w:after="0"/>
      <w:ind w:right="85"/>
      <w:jc w:val="left"/>
    </w:pPr>
    <w:rPr>
      <w:rFonts w:ascii="Arial" w:hAnsi="Arial"/>
      <w:sz w:val="16"/>
    </w:rPr>
  </w:style>
  <w:style w:type="paragraph" w:styleId="Caption">
    <w:name w:val="caption"/>
    <w:basedOn w:val="Normal"/>
    <w:next w:val="Normal"/>
    <w:pPr>
      <w:spacing w:before="160"/>
    </w:pPr>
    <w:rPr>
      <w:i/>
      <w:sz w:val="22"/>
    </w:rPr>
  </w:style>
  <w:style w:type="paragraph" w:customStyle="1" w:styleId="Contact">
    <w:name w:val="Contact"/>
    <w:basedOn w:val="Normal"/>
    <w:uiPriority w:val="99"/>
    <w:pPr>
      <w:spacing w:before="480" w:after="0"/>
      <w:ind w:left="567" w:hanging="567"/>
      <w:jc w:val="left"/>
    </w:pPr>
  </w:style>
  <w:style w:type="paragraph" w:styleId="Date">
    <w:name w:val="Date"/>
    <w:basedOn w:val="Normal"/>
    <w:next w:val="References"/>
    <w:pPr>
      <w:spacing w:after="0"/>
      <w:ind w:left="5102" w:right="-567"/>
      <w:jc w:val="left"/>
    </w:pPr>
  </w:style>
  <w:style w:type="paragraph" w:customStyle="1" w:styleId="References">
    <w:name w:val="References"/>
    <w:basedOn w:val="Normal"/>
    <w:next w:val="Normal"/>
    <w:pPr>
      <w:ind w:left="5102"/>
      <w:jc w:val="left"/>
    </w:pPr>
    <w:rPr>
      <w:sz w:val="20"/>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pPr>
      <w:spacing w:after="0"/>
      <w:jc w:val="center"/>
    </w:pPr>
    <w:rPr>
      <w:b/>
      <w:caps/>
      <w:sz w:val="32"/>
    </w:rPr>
  </w:style>
  <w:style w:type="paragraph" w:customStyle="1" w:styleId="RUE">
    <w:name w:val="RUE"/>
    <w:basedOn w:val="Normal"/>
    <w:pPr>
      <w:spacing w:after="0"/>
      <w:jc w:val="center"/>
    </w:pPr>
    <w:rPr>
      <w:b/>
      <w:caps/>
      <w:sz w:val="32"/>
      <w:bdr w:val="single" w:sz="18" w:space="0" w:color="auto"/>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styleId="EndnoteText">
    <w:name w:val="endnote text"/>
    <w:basedOn w:val="Normal"/>
    <w:semiHidden/>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customStyle="1" w:styleId="FooterLine">
    <w:name w:val="Footer Line"/>
    <w:basedOn w:val="Footer"/>
    <w:next w:val="Footer"/>
    <w:uiPriority w:val="99"/>
    <w:pPr>
      <w:tabs>
        <w:tab w:val="right" w:pos="8646"/>
      </w:tabs>
      <w:spacing w:before="120"/>
      <w:ind w:right="0"/>
    </w:pPr>
  </w:style>
  <w:style w:type="paragraph" w:styleId="FootnoteText">
    <w:name w:val="footnote text"/>
    <w:basedOn w:val="Normal"/>
    <w:semiHidden/>
    <w:pPr>
      <w:spacing w:after="120"/>
      <w:ind w:left="357" w:hanging="357"/>
    </w:pPr>
    <w:rPr>
      <w:sz w:val="20"/>
    </w:rPr>
  </w:style>
  <w:style w:type="paragraph" w:styleId="MacroText">
    <w:name w:val="macro"/>
    <w:basedOn w:val="Normal"/>
    <w:uiPriority w:val="90"/>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90"/>
    <w:qFormat/>
    <w:pPr>
      <w:keepNext w:val="0"/>
      <w:spacing w:before="0"/>
      <w:outlineLvl w:val="9"/>
    </w:pPr>
    <w:rPr>
      <w:b w:val="0"/>
      <w:smallCaps w:val="0"/>
    </w:rPr>
  </w:style>
  <w:style w:type="paragraph" w:customStyle="1" w:styleId="NumPar2">
    <w:name w:val="NumPar 2"/>
    <w:basedOn w:val="Heading2"/>
    <w:uiPriority w:val="90"/>
    <w:qFormat/>
    <w:pPr>
      <w:keepNext w:val="0"/>
      <w:outlineLvl w:val="9"/>
    </w:pPr>
    <w:rPr>
      <w:b w:val="0"/>
    </w:rPr>
  </w:style>
  <w:style w:type="paragraph" w:customStyle="1" w:styleId="NumPar3">
    <w:name w:val="NumPar 3"/>
    <w:basedOn w:val="Heading3"/>
    <w:uiPriority w:val="90"/>
    <w:qFormat/>
    <w:pPr>
      <w:keepNext w:val="0"/>
      <w:outlineLvl w:val="9"/>
    </w:pPr>
    <w:rPr>
      <w:i w:val="0"/>
    </w:rPr>
  </w:style>
  <w:style w:type="paragraph" w:customStyle="1" w:styleId="NumPar4">
    <w:name w:val="NumPar 4"/>
    <w:basedOn w:val="Heading4"/>
    <w:uiPriority w:val="90"/>
    <w:qFormat/>
    <w:pPr>
      <w:keepNext w:val="0"/>
      <w:outlineLvl w:val="9"/>
    </w:pPr>
  </w:style>
  <w:style w:type="paragraph" w:styleId="Title">
    <w:name w:val="Title"/>
    <w:basedOn w:val="Normal"/>
    <w:next w:val="Normal"/>
    <w:pPr>
      <w:spacing w:after="480"/>
      <w:jc w:val="center"/>
    </w:pPr>
    <w:rPr>
      <w:b/>
      <w:kern w:val="28"/>
      <w:sz w:val="48"/>
    </w:rPr>
  </w:style>
  <w:style w:type="paragraph" w:styleId="TOCHeading">
    <w:name w:val="TOC Heading"/>
    <w:basedOn w:val="Normal"/>
    <w:next w:val="Normal"/>
    <w:semiHidden/>
    <w:pPr>
      <w:keepNext/>
      <w:spacing w:before="240"/>
      <w:jc w:val="center"/>
    </w:pPr>
    <w:rPr>
      <w:b/>
    </w:rPr>
  </w:style>
  <w:style w:type="paragraph" w:styleId="TOC1">
    <w:name w:val="toc 1"/>
    <w:basedOn w:val="Normal"/>
    <w:next w:val="Normal"/>
    <w:semiHidden/>
    <w:pPr>
      <w:tabs>
        <w:tab w:val="right" w:leader="dot" w:pos="8640"/>
      </w:tabs>
      <w:spacing w:before="120" w:after="120"/>
      <w:ind w:left="964" w:right="720" w:hanging="482"/>
    </w:pPr>
    <w:rPr>
      <w:caps/>
    </w:rPr>
  </w:style>
  <w:style w:type="paragraph" w:styleId="TOC2">
    <w:name w:val="toc 2"/>
    <w:basedOn w:val="Normal"/>
    <w:next w:val="Normal"/>
    <w:semiHidden/>
    <w:pPr>
      <w:tabs>
        <w:tab w:val="right" w:leader="dot" w:pos="8640"/>
      </w:tabs>
      <w:spacing w:before="60" w:after="60"/>
      <w:ind w:left="1672" w:right="720" w:hanging="595"/>
    </w:pPr>
  </w:style>
  <w:style w:type="paragraph" w:styleId="TOC3">
    <w:name w:val="toc 3"/>
    <w:basedOn w:val="Normal"/>
    <w:next w:val="Normal"/>
    <w:semiHidden/>
    <w:pPr>
      <w:tabs>
        <w:tab w:val="right" w:leader="dot" w:pos="8640"/>
      </w:tabs>
      <w:spacing w:before="60" w:after="60"/>
      <w:ind w:left="2755" w:right="720" w:hanging="839"/>
    </w:pPr>
  </w:style>
  <w:style w:type="paragraph" w:styleId="TOC4">
    <w:name w:val="toc 4"/>
    <w:basedOn w:val="Normal"/>
    <w:next w:val="Normal"/>
    <w:semiHidden/>
    <w:pPr>
      <w:tabs>
        <w:tab w:val="right" w:leader="dot" w:pos="8640"/>
      </w:tabs>
      <w:spacing w:before="60" w:after="60"/>
      <w:ind w:left="3844" w:right="720" w:hanging="964"/>
    </w:pPr>
  </w:style>
  <w:style w:type="paragraph" w:styleId="TOC5">
    <w:name w:val="toc 5"/>
    <w:basedOn w:val="Normal"/>
    <w:next w:val="Normal"/>
    <w:semiHidden/>
    <w:pPr>
      <w:tabs>
        <w:tab w:val="right" w:leader="dot" w:pos="8640"/>
      </w:tabs>
      <w:spacing w:before="60" w:after="60"/>
      <w:ind w:left="3844" w:right="720" w:hanging="964"/>
    </w:pPr>
  </w:style>
  <w:style w:type="paragraph" w:styleId="TOC6">
    <w:name w:val="toc 6"/>
    <w:basedOn w:val="Normal"/>
    <w:next w:val="Normal"/>
    <w:semiHidden/>
    <w:pPr>
      <w:tabs>
        <w:tab w:val="right" w:leader="dot" w:pos="8640"/>
      </w:tabs>
      <w:spacing w:before="60" w:after="60"/>
      <w:ind w:left="3844" w:right="720" w:hanging="964"/>
    </w:pPr>
  </w:style>
  <w:style w:type="paragraph" w:styleId="TOC7">
    <w:name w:val="toc 7"/>
    <w:basedOn w:val="Normal"/>
    <w:next w:val="Normal"/>
    <w:semiHidden/>
    <w:pPr>
      <w:tabs>
        <w:tab w:val="right" w:leader="dot" w:pos="8640"/>
      </w:tabs>
      <w:spacing w:before="60" w:after="60"/>
      <w:ind w:left="3844" w:right="720" w:hanging="964"/>
    </w:pPr>
  </w:style>
  <w:style w:type="paragraph" w:styleId="TOC8">
    <w:name w:val="toc 8"/>
    <w:basedOn w:val="Normal"/>
    <w:next w:val="Normal"/>
    <w:semiHidden/>
    <w:pPr>
      <w:tabs>
        <w:tab w:val="right" w:leader="dot" w:pos="8640"/>
      </w:tabs>
      <w:spacing w:before="60" w:after="60"/>
      <w:ind w:left="3844" w:right="720" w:hanging="964"/>
    </w:pPr>
  </w:style>
  <w:style w:type="paragraph" w:styleId="TOC9">
    <w:name w:val="toc 9"/>
    <w:basedOn w:val="Normal"/>
    <w:next w:val="Normal"/>
    <w:semiHidden/>
    <w:pPr>
      <w:tabs>
        <w:tab w:val="right" w:leader="dot" w:pos="8640"/>
      </w:tabs>
      <w:spacing w:before="60" w:after="60"/>
      <w:ind w:left="3844" w:right="720" w:hanging="964"/>
    </w:pPr>
  </w:style>
  <w:style w:type="paragraph" w:styleId="ListBullet">
    <w:name w:val="List Bullet"/>
    <w:basedOn w:val="Normal"/>
    <w:pPr>
      <w:numPr>
        <w:numId w:val="15"/>
      </w:numPr>
    </w:pPr>
  </w:style>
  <w:style w:type="paragraph" w:customStyle="1" w:styleId="ListBulletLevel2">
    <w:name w:val="List Bullet (Level 2)"/>
    <w:basedOn w:val="Text1"/>
    <w:pPr>
      <w:numPr>
        <w:ilvl w:val="1"/>
        <w:numId w:val="15"/>
      </w:numPr>
    </w:pPr>
  </w:style>
  <w:style w:type="paragraph" w:customStyle="1" w:styleId="ListBulletLevel3">
    <w:name w:val="List Bullet (Level 3)"/>
    <w:basedOn w:val="Text1"/>
    <w:semiHidden/>
    <w:unhideWhenUsed/>
    <w:pPr>
      <w:numPr>
        <w:ilvl w:val="2"/>
        <w:numId w:val="15"/>
      </w:numPr>
    </w:pPr>
  </w:style>
  <w:style w:type="paragraph" w:customStyle="1" w:styleId="ListBulletLevel4">
    <w:name w:val="List Bullet (Level 4)"/>
    <w:basedOn w:val="Text1"/>
    <w:semiHidden/>
    <w:unhideWhenUsed/>
    <w:pPr>
      <w:numPr>
        <w:ilvl w:val="3"/>
        <w:numId w:val="15"/>
      </w:numPr>
    </w:pPr>
  </w:style>
  <w:style w:type="paragraph" w:customStyle="1" w:styleId="ListBullet1">
    <w:name w:val="List Bullet 1"/>
    <w:basedOn w:val="Text1"/>
    <w:pPr>
      <w:numPr>
        <w:numId w:val="14"/>
      </w:numPr>
    </w:pPr>
  </w:style>
  <w:style w:type="paragraph" w:customStyle="1" w:styleId="ListBullet1Level2">
    <w:name w:val="List Bullet 1 (Level 2)"/>
    <w:basedOn w:val="Text1"/>
    <w:pPr>
      <w:numPr>
        <w:ilvl w:val="1"/>
        <w:numId w:val="14"/>
      </w:numPr>
    </w:pPr>
  </w:style>
  <w:style w:type="paragraph" w:customStyle="1" w:styleId="ListBullet1Level3">
    <w:name w:val="List Bullet 1 (Level 3)"/>
    <w:basedOn w:val="Text1"/>
    <w:semiHidden/>
    <w:unhideWhenUsed/>
    <w:pPr>
      <w:numPr>
        <w:ilvl w:val="2"/>
        <w:numId w:val="14"/>
      </w:numPr>
    </w:pPr>
  </w:style>
  <w:style w:type="paragraph" w:customStyle="1" w:styleId="ListBullet1Level4">
    <w:name w:val="List Bullet 1 (Level 4)"/>
    <w:basedOn w:val="Text1"/>
    <w:semiHidden/>
    <w:unhideWhenUsed/>
    <w:pPr>
      <w:numPr>
        <w:ilvl w:val="3"/>
        <w:numId w:val="14"/>
      </w:numPr>
    </w:pPr>
  </w:style>
  <w:style w:type="paragraph" w:styleId="ListBullet2">
    <w:name w:val="List Bullet 2"/>
    <w:basedOn w:val="Text2"/>
    <w:pPr>
      <w:numPr>
        <w:numId w:val="13"/>
      </w:numPr>
    </w:pPr>
  </w:style>
  <w:style w:type="paragraph" w:customStyle="1" w:styleId="ListBullet2Level2">
    <w:name w:val="List Bullet 2 (Level 2)"/>
    <w:basedOn w:val="Text2"/>
    <w:pPr>
      <w:numPr>
        <w:ilvl w:val="1"/>
        <w:numId w:val="13"/>
      </w:numPr>
    </w:pPr>
  </w:style>
  <w:style w:type="paragraph" w:customStyle="1" w:styleId="ListBullet2Level3">
    <w:name w:val="List Bullet 2 (Level 3)"/>
    <w:basedOn w:val="Text2"/>
    <w:semiHidden/>
    <w:unhideWhenUsed/>
    <w:pPr>
      <w:numPr>
        <w:ilvl w:val="2"/>
        <w:numId w:val="13"/>
      </w:numPr>
    </w:pPr>
  </w:style>
  <w:style w:type="paragraph" w:customStyle="1" w:styleId="ListBullet2Level4">
    <w:name w:val="List Bullet 2 (Level 4)"/>
    <w:basedOn w:val="Text2"/>
    <w:semiHidden/>
    <w:unhideWhenUsed/>
    <w:pPr>
      <w:numPr>
        <w:ilvl w:val="3"/>
        <w:numId w:val="13"/>
      </w:numPr>
    </w:pPr>
  </w:style>
  <w:style w:type="paragraph" w:styleId="ListBullet3">
    <w:name w:val="List Bullet 3"/>
    <w:basedOn w:val="Text3"/>
    <w:pPr>
      <w:numPr>
        <w:numId w:val="12"/>
      </w:numPr>
    </w:pPr>
  </w:style>
  <w:style w:type="paragraph" w:customStyle="1" w:styleId="ListBullet3Level2">
    <w:name w:val="List Bullet 3 (Level 2)"/>
    <w:basedOn w:val="Text3"/>
    <w:pPr>
      <w:numPr>
        <w:ilvl w:val="1"/>
        <w:numId w:val="12"/>
      </w:numPr>
    </w:pPr>
  </w:style>
  <w:style w:type="paragraph" w:customStyle="1" w:styleId="ListBullet3Level3">
    <w:name w:val="List Bullet 3 (Level 3)"/>
    <w:basedOn w:val="Text3"/>
    <w:semiHidden/>
    <w:unhideWhenUsed/>
    <w:pPr>
      <w:numPr>
        <w:ilvl w:val="2"/>
        <w:numId w:val="12"/>
      </w:numPr>
    </w:pPr>
  </w:style>
  <w:style w:type="paragraph" w:customStyle="1" w:styleId="ListBullet3Level4">
    <w:name w:val="List Bullet 3 (Level 4)"/>
    <w:basedOn w:val="Text3"/>
    <w:semiHidden/>
    <w:unhideWhenUsed/>
    <w:pPr>
      <w:numPr>
        <w:ilvl w:val="3"/>
        <w:numId w:val="12"/>
      </w:numPr>
    </w:pPr>
  </w:style>
  <w:style w:type="paragraph" w:styleId="ListBullet4">
    <w:name w:val="List Bullet 4"/>
    <w:basedOn w:val="Text4"/>
    <w:pPr>
      <w:numPr>
        <w:numId w:val="11"/>
      </w:numPr>
    </w:pPr>
  </w:style>
  <w:style w:type="paragraph" w:customStyle="1" w:styleId="ListBullet4Level2">
    <w:name w:val="List Bullet 4 (Level 2)"/>
    <w:basedOn w:val="Text4"/>
    <w:pPr>
      <w:numPr>
        <w:ilvl w:val="1"/>
        <w:numId w:val="11"/>
      </w:numPr>
    </w:pPr>
  </w:style>
  <w:style w:type="paragraph" w:customStyle="1" w:styleId="ListBullet4Level3">
    <w:name w:val="List Bullet 4 (Level 3)"/>
    <w:basedOn w:val="Text4"/>
    <w:semiHidden/>
    <w:unhideWhenUsed/>
    <w:pPr>
      <w:numPr>
        <w:ilvl w:val="2"/>
        <w:numId w:val="11"/>
      </w:numPr>
    </w:pPr>
  </w:style>
  <w:style w:type="paragraph" w:customStyle="1" w:styleId="ListBullet4Level4">
    <w:name w:val="List Bullet 4 (Level 4)"/>
    <w:basedOn w:val="Text4"/>
    <w:semiHidden/>
    <w:unhideWhenUsed/>
    <w:pPr>
      <w:numPr>
        <w:ilvl w:val="3"/>
        <w:numId w:val="11"/>
      </w:numPr>
    </w:pPr>
  </w:style>
  <w:style w:type="paragraph" w:customStyle="1" w:styleId="ListDash">
    <w:name w:val="List Dash"/>
    <w:basedOn w:val="Normal"/>
    <w:pPr>
      <w:numPr>
        <w:numId w:val="5"/>
      </w:numPr>
    </w:pPr>
  </w:style>
  <w:style w:type="paragraph" w:customStyle="1" w:styleId="ListDashLevel2">
    <w:name w:val="List Dash (Level 2)"/>
    <w:basedOn w:val="Normal"/>
    <w:pPr>
      <w:numPr>
        <w:ilvl w:val="1"/>
        <w:numId w:val="5"/>
      </w:numPr>
    </w:pPr>
  </w:style>
  <w:style w:type="paragraph" w:customStyle="1" w:styleId="ListDashLevel3">
    <w:name w:val="List Dash (Level 3)"/>
    <w:basedOn w:val="Normal"/>
    <w:semiHidden/>
    <w:unhideWhenUsed/>
    <w:pPr>
      <w:numPr>
        <w:ilvl w:val="2"/>
        <w:numId w:val="5"/>
      </w:numPr>
    </w:pPr>
  </w:style>
  <w:style w:type="paragraph" w:customStyle="1" w:styleId="ListDashLevel4">
    <w:name w:val="List Dash (Level 4)"/>
    <w:basedOn w:val="Normal"/>
    <w:semiHidden/>
    <w:unhideWhenUsed/>
    <w:pPr>
      <w:numPr>
        <w:ilvl w:val="3"/>
        <w:numId w:val="5"/>
      </w:numPr>
    </w:pPr>
  </w:style>
  <w:style w:type="paragraph" w:customStyle="1" w:styleId="ListDash1">
    <w:name w:val="List Dash 1"/>
    <w:basedOn w:val="Text1"/>
    <w:pPr>
      <w:numPr>
        <w:numId w:val="4"/>
      </w:numPr>
    </w:pPr>
  </w:style>
  <w:style w:type="paragraph" w:customStyle="1" w:styleId="ListDash1Level2">
    <w:name w:val="List Dash 1 (Level 2)"/>
    <w:basedOn w:val="Text1"/>
    <w:pPr>
      <w:numPr>
        <w:ilvl w:val="1"/>
        <w:numId w:val="4"/>
      </w:numPr>
    </w:pPr>
  </w:style>
  <w:style w:type="paragraph" w:customStyle="1" w:styleId="ListDash1Level3">
    <w:name w:val="List Dash 1 (Level 3)"/>
    <w:basedOn w:val="Text1"/>
    <w:semiHidden/>
    <w:unhideWhenUsed/>
    <w:pPr>
      <w:numPr>
        <w:ilvl w:val="2"/>
        <w:numId w:val="4"/>
      </w:numPr>
    </w:pPr>
  </w:style>
  <w:style w:type="paragraph" w:customStyle="1" w:styleId="ListDash1Level4">
    <w:name w:val="List Dash 1 (Level 4)"/>
    <w:basedOn w:val="Text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pPr>
      <w:numPr>
        <w:ilvl w:val="1"/>
        <w:numId w:val="3"/>
      </w:numPr>
    </w:pPr>
  </w:style>
  <w:style w:type="paragraph" w:customStyle="1" w:styleId="ListDash2Level3">
    <w:name w:val="List Dash 2 (Level 3)"/>
    <w:basedOn w:val="Text2"/>
    <w:semiHidden/>
    <w:unhideWhenUsed/>
    <w:pPr>
      <w:numPr>
        <w:ilvl w:val="2"/>
        <w:numId w:val="3"/>
      </w:numPr>
    </w:pPr>
  </w:style>
  <w:style w:type="paragraph" w:customStyle="1" w:styleId="ListDash2Level4">
    <w:name w:val="List Dash 2 (Level 4)"/>
    <w:basedOn w:val="Text2"/>
    <w:semiHidden/>
    <w:unhideWhenUsed/>
    <w:pPr>
      <w:numPr>
        <w:ilvl w:val="3"/>
        <w:numId w:val="3"/>
      </w:numPr>
    </w:pPr>
  </w:style>
  <w:style w:type="paragraph" w:customStyle="1" w:styleId="ListDash3">
    <w:name w:val="List Dash 3"/>
    <w:basedOn w:val="Text3"/>
    <w:pPr>
      <w:numPr>
        <w:numId w:val="2"/>
      </w:numPr>
    </w:pPr>
  </w:style>
  <w:style w:type="paragraph" w:customStyle="1" w:styleId="ListDash3Level2">
    <w:name w:val="List Dash 3 (Level 2)"/>
    <w:basedOn w:val="Text3"/>
    <w:pPr>
      <w:numPr>
        <w:ilvl w:val="1"/>
        <w:numId w:val="2"/>
      </w:numPr>
    </w:pPr>
  </w:style>
  <w:style w:type="paragraph" w:customStyle="1" w:styleId="ListDash3Level3">
    <w:name w:val="List Dash 3 (Level 3)"/>
    <w:basedOn w:val="Text3"/>
    <w:semiHidden/>
    <w:unhideWhenUsed/>
    <w:pPr>
      <w:numPr>
        <w:ilvl w:val="2"/>
        <w:numId w:val="2"/>
      </w:numPr>
    </w:pPr>
  </w:style>
  <w:style w:type="paragraph" w:customStyle="1" w:styleId="ListDash3Level4">
    <w:name w:val="List Dash 3 (Level 4)"/>
    <w:basedOn w:val="Text3"/>
    <w:semiHidden/>
    <w:unhideWhenUsed/>
    <w:pPr>
      <w:numPr>
        <w:ilvl w:val="3"/>
        <w:numId w:val="2"/>
      </w:numPr>
    </w:pPr>
  </w:style>
  <w:style w:type="paragraph" w:customStyle="1" w:styleId="ListDash4">
    <w:name w:val="List Dash 4"/>
    <w:basedOn w:val="Text4"/>
    <w:pPr>
      <w:numPr>
        <w:numId w:val="1"/>
      </w:numPr>
    </w:pPr>
  </w:style>
  <w:style w:type="paragraph" w:customStyle="1" w:styleId="ListDash4Level2">
    <w:name w:val="List Dash 4 (Level 2)"/>
    <w:basedOn w:val="Text4"/>
    <w:pPr>
      <w:numPr>
        <w:ilvl w:val="1"/>
        <w:numId w:val="1"/>
      </w:numPr>
    </w:pPr>
  </w:style>
  <w:style w:type="paragraph" w:customStyle="1" w:styleId="ListDash4Level3">
    <w:name w:val="List Dash 4 (Level 3)"/>
    <w:basedOn w:val="Text4"/>
    <w:semiHidden/>
    <w:unhideWhenUsed/>
    <w:pPr>
      <w:numPr>
        <w:ilvl w:val="2"/>
        <w:numId w:val="1"/>
      </w:numPr>
    </w:pPr>
  </w:style>
  <w:style w:type="paragraph" w:customStyle="1" w:styleId="ListDash4Level4">
    <w:name w:val="List Dash 4 (Level 4)"/>
    <w:basedOn w:val="Text4"/>
    <w:semiHidden/>
    <w:unhideWhenUsed/>
    <w:pPr>
      <w:numPr>
        <w:ilvl w:val="3"/>
        <w:numId w:val="1"/>
      </w:numPr>
    </w:pPr>
  </w:style>
  <w:style w:type="paragraph" w:styleId="ListNumber">
    <w:name w:val="List Number"/>
    <w:basedOn w:val="Normal"/>
    <w:pPr>
      <w:numPr>
        <w:numId w:val="10"/>
      </w:numPr>
    </w:pPr>
  </w:style>
  <w:style w:type="paragraph" w:customStyle="1" w:styleId="ListNumberLevel2">
    <w:name w:val="List Number (Level 2)"/>
    <w:basedOn w:val="Normal"/>
    <w:pPr>
      <w:numPr>
        <w:ilvl w:val="1"/>
        <w:numId w:val="10"/>
      </w:numPr>
    </w:pPr>
  </w:style>
  <w:style w:type="paragraph" w:customStyle="1" w:styleId="ListNumberLevel3">
    <w:name w:val="List Number (Level 3)"/>
    <w:basedOn w:val="Normal"/>
    <w:semiHidden/>
    <w:unhideWhenUsed/>
    <w:pPr>
      <w:numPr>
        <w:ilvl w:val="2"/>
        <w:numId w:val="10"/>
      </w:numPr>
    </w:pPr>
  </w:style>
  <w:style w:type="paragraph" w:customStyle="1" w:styleId="ListNumberLevel4">
    <w:name w:val="List Number (Level 4)"/>
    <w:basedOn w:val="Normal"/>
    <w:semiHidden/>
    <w:unhideWhenUsed/>
    <w:pPr>
      <w:numPr>
        <w:ilvl w:val="3"/>
        <w:numId w:val="10"/>
      </w:numPr>
    </w:pPr>
  </w:style>
  <w:style w:type="paragraph" w:customStyle="1" w:styleId="ListNumber1">
    <w:name w:val="List Number 1"/>
    <w:basedOn w:val="Text1"/>
    <w:pPr>
      <w:numPr>
        <w:numId w:val="9"/>
      </w:numPr>
    </w:pPr>
  </w:style>
  <w:style w:type="paragraph" w:customStyle="1" w:styleId="ListNumber1Level2">
    <w:name w:val="List Number 1 (Level 2)"/>
    <w:basedOn w:val="Text1"/>
    <w:pPr>
      <w:numPr>
        <w:ilvl w:val="1"/>
        <w:numId w:val="9"/>
      </w:numPr>
    </w:pPr>
  </w:style>
  <w:style w:type="paragraph" w:customStyle="1" w:styleId="ListNumber1Level3">
    <w:name w:val="List Number 1 (Level 3)"/>
    <w:basedOn w:val="Text1"/>
    <w:semiHidden/>
    <w:unhideWhenUsed/>
    <w:pPr>
      <w:numPr>
        <w:ilvl w:val="2"/>
        <w:numId w:val="9"/>
      </w:numPr>
    </w:pPr>
  </w:style>
  <w:style w:type="paragraph" w:customStyle="1" w:styleId="ListNumber1Level4">
    <w:name w:val="List Number 1 (Level 4)"/>
    <w:basedOn w:val="Text1"/>
    <w:semiHidden/>
    <w:unhideWhenUsed/>
    <w:pPr>
      <w:numPr>
        <w:ilvl w:val="3"/>
        <w:numId w:val="9"/>
      </w:numPr>
    </w:pPr>
  </w:style>
  <w:style w:type="paragraph" w:styleId="ListNumber2">
    <w:name w:val="List Number 2"/>
    <w:basedOn w:val="Text2"/>
    <w:pPr>
      <w:numPr>
        <w:numId w:val="8"/>
      </w:numPr>
    </w:pPr>
  </w:style>
  <w:style w:type="paragraph" w:customStyle="1" w:styleId="ListNumber2Level2">
    <w:name w:val="List Number 2 (Level 2)"/>
    <w:basedOn w:val="Text2"/>
    <w:pPr>
      <w:numPr>
        <w:ilvl w:val="1"/>
        <w:numId w:val="8"/>
      </w:numPr>
    </w:pPr>
  </w:style>
  <w:style w:type="paragraph" w:customStyle="1" w:styleId="ListNumber2Level3">
    <w:name w:val="List Number 2 (Level 3)"/>
    <w:basedOn w:val="Text2"/>
    <w:semiHidden/>
    <w:unhideWhenUsed/>
    <w:pPr>
      <w:numPr>
        <w:ilvl w:val="2"/>
        <w:numId w:val="8"/>
      </w:numPr>
    </w:pPr>
  </w:style>
  <w:style w:type="paragraph" w:customStyle="1" w:styleId="ListNumber2Level4">
    <w:name w:val="List Number 2 (Level 4)"/>
    <w:basedOn w:val="Text2"/>
    <w:semiHidden/>
    <w:unhideWhenUsed/>
    <w:pPr>
      <w:numPr>
        <w:ilvl w:val="3"/>
        <w:numId w:val="8"/>
      </w:numPr>
    </w:pPr>
  </w:style>
  <w:style w:type="paragraph" w:styleId="ListNumber3">
    <w:name w:val="List Number 3"/>
    <w:basedOn w:val="Text3"/>
    <w:pPr>
      <w:numPr>
        <w:numId w:val="7"/>
      </w:numPr>
    </w:pPr>
  </w:style>
  <w:style w:type="paragraph" w:customStyle="1" w:styleId="ListNumber3Level2">
    <w:name w:val="List Number 3 (Level 2)"/>
    <w:basedOn w:val="Text3"/>
    <w:pPr>
      <w:numPr>
        <w:ilvl w:val="1"/>
        <w:numId w:val="7"/>
      </w:numPr>
    </w:pPr>
  </w:style>
  <w:style w:type="paragraph" w:customStyle="1" w:styleId="ListNumber3Level3">
    <w:name w:val="List Number 3 (Level 3)"/>
    <w:basedOn w:val="Text3"/>
    <w:semiHidden/>
    <w:unhideWhenUsed/>
    <w:pPr>
      <w:numPr>
        <w:ilvl w:val="2"/>
        <w:numId w:val="7"/>
      </w:numPr>
    </w:pPr>
  </w:style>
  <w:style w:type="paragraph" w:customStyle="1" w:styleId="ListNumber3Level4">
    <w:name w:val="List Number 3 (Level 4)"/>
    <w:basedOn w:val="Text3"/>
    <w:semiHidden/>
    <w:unhideWhenUsed/>
    <w:pPr>
      <w:numPr>
        <w:ilvl w:val="3"/>
        <w:numId w:val="7"/>
      </w:numPr>
    </w:pPr>
  </w:style>
  <w:style w:type="paragraph" w:styleId="ListNumber4">
    <w:name w:val="List Number 4"/>
    <w:basedOn w:val="Text4"/>
    <w:pPr>
      <w:numPr>
        <w:numId w:val="6"/>
      </w:numPr>
    </w:pPr>
  </w:style>
  <w:style w:type="paragraph" w:customStyle="1" w:styleId="ListNumber4Level2">
    <w:name w:val="List Number 4 (Level 2)"/>
    <w:basedOn w:val="Text4"/>
    <w:pPr>
      <w:numPr>
        <w:ilvl w:val="1"/>
        <w:numId w:val="6"/>
      </w:numPr>
    </w:pPr>
  </w:style>
  <w:style w:type="paragraph" w:customStyle="1" w:styleId="ListNumber4Level3">
    <w:name w:val="List Number 4 (Level 3)"/>
    <w:basedOn w:val="Text4"/>
    <w:semiHidden/>
    <w:unhideWhenUsed/>
    <w:pPr>
      <w:numPr>
        <w:ilvl w:val="2"/>
        <w:numId w:val="6"/>
      </w:numPr>
    </w:pPr>
  </w:style>
  <w:style w:type="paragraph" w:customStyle="1" w:styleId="ListNumber4Level4">
    <w:name w:val="List Number 4 (Level 4)"/>
    <w:basedOn w:val="Text4"/>
    <w:semiHidden/>
    <w:unhideWhenUsed/>
    <w:pPr>
      <w:numPr>
        <w:ilvl w:val="3"/>
        <w:numId w:val="6"/>
      </w:numPr>
    </w:pPr>
  </w:style>
  <w:style w:type="paragraph" w:customStyle="1" w:styleId="Marking">
    <w:name w:val="Marking"/>
    <w:basedOn w:val="Normal"/>
    <w:pPr>
      <w:spacing w:line="276" w:lineRule="auto"/>
      <w:ind w:left="5114"/>
      <w:contextualSpacing/>
      <w:jc w:val="left"/>
    </w:pPr>
    <w:rPr>
      <w:i/>
      <w:sz w:val="32"/>
    </w:rPr>
  </w:style>
  <w:style w:type="paragraph" w:customStyle="1" w:styleId="LegalNumPar">
    <w:name w:val="LegalNumPar"/>
    <w:basedOn w:val="Normal"/>
    <w:uiPriority w:val="90"/>
    <w:qFormat/>
    <w:pPr>
      <w:numPr>
        <w:numId w:val="17"/>
      </w:numPr>
      <w:spacing w:line="360" w:lineRule="auto"/>
      <w:jc w:val="left"/>
    </w:pPr>
  </w:style>
  <w:style w:type="paragraph" w:customStyle="1" w:styleId="LegalNumPar2">
    <w:name w:val="LegalNumPar2"/>
    <w:basedOn w:val="Normal"/>
    <w:pPr>
      <w:numPr>
        <w:ilvl w:val="1"/>
        <w:numId w:val="17"/>
      </w:numPr>
      <w:spacing w:line="360" w:lineRule="auto"/>
      <w:jc w:val="left"/>
    </w:pPr>
  </w:style>
  <w:style w:type="paragraph" w:customStyle="1" w:styleId="LegalNumPar3">
    <w:name w:val="LegalNumPar3"/>
    <w:basedOn w:val="Normal"/>
    <w:pPr>
      <w:numPr>
        <w:ilvl w:val="2"/>
        <w:numId w:val="17"/>
      </w:numPr>
      <w:spacing w:line="360" w:lineRule="auto"/>
      <w:jc w:val="left"/>
    </w:pPr>
  </w:style>
  <w:style w:type="paragraph" w:styleId="NoteHeading">
    <w:name w:val="Note Heading"/>
    <w:basedOn w:val="Normal"/>
    <w:next w:val="Normal"/>
  </w:style>
  <w:style w:type="paragraph" w:customStyle="1" w:styleId="NoteHead">
    <w:name w:val="NoteHead"/>
    <w:basedOn w:val="Normal"/>
    <w:next w:val="Subject"/>
    <w:uiPriority w:val="99"/>
    <w:pPr>
      <w:spacing w:before="720" w:after="720"/>
      <w:jc w:val="center"/>
    </w:pPr>
    <w:rPr>
      <w:b/>
      <w:smallCaps/>
    </w:rPr>
  </w:style>
  <w:style w:type="paragraph" w:customStyle="1" w:styleId="NoteList">
    <w:name w:val="NoteList"/>
    <w:basedOn w:val="Normal"/>
    <w:next w:val="Subject"/>
    <w:pPr>
      <w:tabs>
        <w:tab w:val="left" w:pos="5822"/>
      </w:tabs>
      <w:spacing w:before="720" w:after="720"/>
      <w:ind w:left="5102" w:hanging="3118"/>
      <w:jc w:val="left"/>
    </w:pPr>
    <w:rPr>
      <w:b/>
      <w:smallCaps/>
    </w:rPr>
  </w:style>
  <w:style w:type="paragraph" w:customStyle="1" w:styleId="NoteColumn">
    <w:name w:val="NoteColumn"/>
    <w:basedOn w:val="Normal"/>
    <w:next w:val="Subject"/>
    <w:pPr>
      <w:tabs>
        <w:tab w:val="left" w:pos="850"/>
        <w:tab w:val="left" w:pos="1570"/>
        <w:tab w:val="left" w:pos="5102"/>
        <w:tab w:val="left" w:pos="5822"/>
      </w:tabs>
      <w:spacing w:after="720"/>
      <w:ind w:left="850"/>
      <w:jc w:val="left"/>
    </w:pPr>
    <w:rPr>
      <w:b/>
      <w:smallCaps/>
    </w:rPr>
  </w:style>
  <w:style w:type="paragraph" w:customStyle="1" w:styleId="Subject">
    <w:name w:val="Subject"/>
    <w:basedOn w:val="Normal"/>
    <w:next w:val="Normal"/>
    <w:uiPriority w:val="99"/>
    <w:pPr>
      <w:spacing w:after="480"/>
      <w:ind w:left="1531" w:hanging="1531"/>
      <w:jc w:val="left"/>
    </w:pPr>
    <w:rPr>
      <w:b/>
    </w:rPr>
  </w:style>
  <w:style w:type="paragraph" w:customStyle="1" w:styleId="YReferences">
    <w:name w:val="YReferences"/>
    <w:basedOn w:val="Normal"/>
    <w:next w:val="Normal"/>
    <w:uiPriority w:val="99"/>
    <w:pPr>
      <w:spacing w:after="480"/>
      <w:ind w:left="1531" w:hanging="1531"/>
    </w:pPr>
  </w:style>
  <w:style w:type="paragraph" w:styleId="Closing">
    <w:name w:val="Closing"/>
    <w:basedOn w:val="Normal"/>
    <w:next w:val="Signature"/>
    <w:pPr>
      <w:tabs>
        <w:tab w:val="left" w:pos="5102"/>
      </w:tabs>
      <w:spacing w:before="240"/>
      <w:ind w:left="5102"/>
      <w:jc w:val="left"/>
    </w:pPr>
  </w:style>
  <w:style w:type="paragraph" w:customStyle="1" w:styleId="ClosingL">
    <w:name w:val="ClosingL"/>
    <w:basedOn w:val="Normal"/>
    <w:next w:val="Signature"/>
    <w:pPr>
      <w:spacing w:before="240"/>
      <w:jc w:val="left"/>
    </w:pPr>
  </w:style>
  <w:style w:type="paragraph" w:styleId="Signature">
    <w:name w:val="Signature"/>
    <w:basedOn w:val="Normal"/>
    <w:next w:val="Contact"/>
    <w:uiPriority w:val="99"/>
    <w:pPr>
      <w:tabs>
        <w:tab w:val="left" w:pos="5102"/>
      </w:tabs>
      <w:spacing w:before="1200" w:after="0"/>
      <w:ind w:left="5102"/>
      <w:jc w:val="center"/>
    </w:pPr>
  </w:style>
  <w:style w:type="paragraph" w:customStyle="1" w:styleId="SignatureL">
    <w:name w:val="SignatureL"/>
    <w:basedOn w:val="Normal"/>
    <w:next w:val="Contact"/>
    <w:uiPriority w:val="99"/>
    <w:pPr>
      <w:tabs>
        <w:tab w:val="left" w:pos="5102"/>
      </w:tabs>
      <w:spacing w:before="1200" w:after="0"/>
      <w:jc w:val="left"/>
    </w:pPr>
  </w:style>
  <w:style w:type="paragraph" w:customStyle="1" w:styleId="DoubSign">
    <w:name w:val="DoubSign"/>
    <w:basedOn w:val="Normal"/>
    <w:next w:val="Contact"/>
    <w:pPr>
      <w:tabs>
        <w:tab w:val="left" w:pos="5102"/>
      </w:tabs>
      <w:spacing w:before="1200" w:after="0"/>
      <w:jc w:val="left"/>
    </w:pPr>
  </w:style>
  <w:style w:type="paragraph" w:customStyle="1" w:styleId="Enclosures">
    <w:name w:val="Enclosures"/>
    <w:basedOn w:val="Normal"/>
    <w:next w:val="Participants"/>
    <w:uiPriority w:val="99"/>
    <w:pPr>
      <w:keepNext/>
      <w:keepLines/>
      <w:tabs>
        <w:tab w:val="left" w:pos="5669"/>
      </w:tabs>
      <w:spacing w:before="480" w:after="0"/>
      <w:ind w:left="1984" w:hanging="1984"/>
      <w:jc w:val="left"/>
    </w:pPr>
  </w:style>
  <w:style w:type="paragraph" w:customStyle="1" w:styleId="Participants">
    <w:name w:val="Participants"/>
    <w:basedOn w:val="Normal"/>
    <w:next w:val="Copies"/>
    <w:uiPriority w:val="99"/>
    <w:pPr>
      <w:tabs>
        <w:tab w:val="left" w:pos="2551"/>
        <w:tab w:val="left" w:pos="2835"/>
        <w:tab w:val="left" w:pos="5669"/>
        <w:tab w:val="left" w:pos="6378"/>
        <w:tab w:val="left" w:pos="6803"/>
      </w:tabs>
      <w:spacing w:before="480" w:after="0"/>
      <w:ind w:left="1984" w:hanging="1984"/>
      <w:jc w:val="left"/>
    </w:pPr>
  </w:style>
  <w:style w:type="paragraph" w:customStyle="1" w:styleId="Copies">
    <w:name w:val="Copies"/>
    <w:basedOn w:val="Normal"/>
    <w:next w:val="Normal"/>
    <w:uiPriority w:val="99"/>
    <w:pPr>
      <w:tabs>
        <w:tab w:val="left" w:pos="5669"/>
      </w:tabs>
      <w:spacing w:before="480" w:after="0"/>
      <w:ind w:left="1984" w:hanging="1984"/>
      <w:jc w:val="left"/>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TableLetterhead">
    <w:name w:val="Table Letterhead"/>
    <w:basedOn w:val="TableNormal"/>
    <w:uiPriority w:val="99"/>
    <w:tblPr>
      <w:tblCellMar>
        <w:left w:w="0" w:type="dxa"/>
        <w:bottom w:w="340" w:type="dxa"/>
        <w:right w:w="0" w:type="dxa"/>
      </w:tblCellMar>
    </w:tblPr>
  </w:style>
  <w:style w:type="character" w:styleId="Hyperlink">
    <w:name w:val="Hyperlink"/>
    <w:unhideWhenUsed/>
    <w:locked/>
    <w:rsid w:val="00C73EA0"/>
    <w:rPr>
      <w:color w:val="0000FF"/>
      <w:u w:val="single"/>
    </w:rPr>
  </w:style>
  <w:style w:type="character" w:styleId="FootnoteReference">
    <w:name w:val="footnote reference"/>
    <w:aliases w:val=" Char,Char,Footnote,Footnote number,Footnote symbol,Footnote Reference Number,Footnote reference number,Times 10 Point,Exposant 3 Point,Footnote Reference Superscript,EN Footnote Reference,note TESI"/>
    <w:link w:val="1"/>
    <w:unhideWhenUsed/>
    <w:locked/>
    <w:rsid w:val="00C73EA0"/>
    <w:rPr>
      <w:vertAlign w:val="superscript"/>
    </w:rPr>
  </w:style>
  <w:style w:type="character" w:styleId="CommentReference">
    <w:name w:val="annotation reference"/>
    <w:uiPriority w:val="99"/>
    <w:semiHidden/>
    <w:unhideWhenUsed/>
    <w:locked/>
    <w:rsid w:val="00C73EA0"/>
    <w:rPr>
      <w:sz w:val="16"/>
      <w:szCs w:val="16"/>
    </w:rPr>
  </w:style>
  <w:style w:type="paragraph" w:styleId="CommentText">
    <w:name w:val="annotation text"/>
    <w:basedOn w:val="Normal"/>
    <w:link w:val="CommentTextChar"/>
    <w:uiPriority w:val="99"/>
    <w:unhideWhenUsed/>
    <w:locked/>
    <w:rsid w:val="00C73EA0"/>
    <w:pPr>
      <w:spacing w:after="200" w:line="276" w:lineRule="auto"/>
      <w:jc w:val="left"/>
    </w:pPr>
    <w:rPr>
      <w:rFonts w:ascii="Calibri" w:eastAsia="Calibri" w:hAnsi="Calibri"/>
      <w:sz w:val="20"/>
      <w:lang w:val="en-GB" w:eastAsia="en-US"/>
    </w:rPr>
  </w:style>
  <w:style w:type="character" w:customStyle="1" w:styleId="CommentTextChar">
    <w:name w:val="Comment Text Char"/>
    <w:basedOn w:val="DefaultParagraphFont"/>
    <w:link w:val="CommentText"/>
    <w:uiPriority w:val="99"/>
    <w:rsid w:val="00C73EA0"/>
    <w:rPr>
      <w:rFonts w:ascii="Calibri" w:eastAsia="Calibri" w:hAnsi="Calibri"/>
      <w:sz w:val="20"/>
      <w:lang w:val="en-GB" w:eastAsia="en-US"/>
    </w:rPr>
  </w:style>
  <w:style w:type="paragraph" w:styleId="BalloonText">
    <w:name w:val="Balloon Text"/>
    <w:basedOn w:val="Normal"/>
    <w:link w:val="BalloonTextChar"/>
    <w:semiHidden/>
    <w:locked/>
    <w:rsid w:val="00C73EA0"/>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73EA0"/>
    <w:rPr>
      <w:rFonts w:ascii="Segoe UI" w:hAnsi="Segoe UI" w:cs="Segoe UI"/>
      <w:sz w:val="18"/>
      <w:szCs w:val="18"/>
    </w:rPr>
  </w:style>
  <w:style w:type="character" w:customStyle="1" w:styleId="FooterChar">
    <w:name w:val="Footer Char"/>
    <w:basedOn w:val="DefaultParagraphFont"/>
    <w:link w:val="Footer"/>
    <w:uiPriority w:val="99"/>
    <w:rsid w:val="00C73EA0"/>
    <w:rPr>
      <w:rFonts w:ascii="Arial" w:hAnsi="Arial"/>
      <w:sz w:val="16"/>
    </w:rPr>
  </w:style>
  <w:style w:type="paragraph" w:styleId="CommentSubject">
    <w:name w:val="annotation subject"/>
    <w:basedOn w:val="CommentText"/>
    <w:next w:val="CommentText"/>
    <w:link w:val="CommentSubjectChar"/>
    <w:semiHidden/>
    <w:locked/>
    <w:rsid w:val="008000D4"/>
    <w:pPr>
      <w:spacing w:after="240" w:line="240" w:lineRule="auto"/>
      <w:jc w:val="both"/>
    </w:pPr>
    <w:rPr>
      <w:rFonts w:ascii="Times New Roman" w:eastAsia="Times New Roman" w:hAnsi="Times New Roman"/>
      <w:b/>
      <w:bCs/>
      <w:lang w:val="fr-BE" w:eastAsia="fr-BE"/>
    </w:rPr>
  </w:style>
  <w:style w:type="character" w:customStyle="1" w:styleId="CommentSubjectChar">
    <w:name w:val="Comment Subject Char"/>
    <w:basedOn w:val="CommentTextChar"/>
    <w:link w:val="CommentSubject"/>
    <w:semiHidden/>
    <w:rsid w:val="008000D4"/>
    <w:rPr>
      <w:rFonts w:ascii="Calibri" w:eastAsia="Calibri" w:hAnsi="Calibri"/>
      <w:b/>
      <w:bCs/>
      <w:sz w:val="20"/>
      <w:lang w:val="en-GB" w:eastAsia="en-US"/>
    </w:rPr>
  </w:style>
  <w:style w:type="paragraph" w:styleId="ListParagraph">
    <w:name w:val="List Paragraph"/>
    <w:basedOn w:val="Normal"/>
    <w:locked/>
    <w:rsid w:val="00BD02E3"/>
    <w:pPr>
      <w:ind w:left="720"/>
      <w:contextualSpacing/>
    </w:pPr>
  </w:style>
  <w:style w:type="paragraph" w:styleId="Revision">
    <w:name w:val="Revision"/>
    <w:hidden/>
    <w:semiHidden/>
    <w:locked/>
    <w:rsid w:val="00E279BA"/>
  </w:style>
  <w:style w:type="character" w:styleId="FollowedHyperlink">
    <w:name w:val="FollowedHyperlink"/>
    <w:basedOn w:val="DefaultParagraphFont"/>
    <w:semiHidden/>
    <w:locked/>
    <w:rsid w:val="001E136E"/>
    <w:rPr>
      <w:color w:val="954F72" w:themeColor="followedHyperlink"/>
      <w:u w:val="single"/>
    </w:rPr>
  </w:style>
  <w:style w:type="paragraph" w:styleId="BodyText2">
    <w:name w:val="Body Text 2"/>
    <w:basedOn w:val="Normal"/>
    <w:link w:val="BodyText2Char"/>
    <w:locked/>
    <w:rsid w:val="00F376B4"/>
    <w:pPr>
      <w:tabs>
        <w:tab w:val="num" w:pos="567"/>
      </w:tabs>
      <w:spacing w:after="0"/>
    </w:pPr>
    <w:rPr>
      <w:lang w:val="en-GB" w:eastAsia="en-GB"/>
    </w:rPr>
  </w:style>
  <w:style w:type="character" w:customStyle="1" w:styleId="BodyText2Char">
    <w:name w:val="Body Text 2 Char"/>
    <w:basedOn w:val="DefaultParagraphFont"/>
    <w:link w:val="BodyText2"/>
    <w:rsid w:val="00F376B4"/>
    <w:rPr>
      <w:lang w:val="en-GB" w:eastAsia="en-GB"/>
    </w:rPr>
  </w:style>
  <w:style w:type="paragraph" w:styleId="NormalWeb">
    <w:name w:val="Normal (Web)"/>
    <w:basedOn w:val="Normal"/>
    <w:uiPriority w:val="99"/>
    <w:unhideWhenUsed/>
    <w:locked/>
    <w:rsid w:val="00D41A85"/>
    <w:pPr>
      <w:spacing w:before="100" w:beforeAutospacing="1" w:after="100" w:afterAutospacing="1"/>
      <w:jc w:val="left"/>
    </w:pPr>
    <w:rPr>
      <w:szCs w:val="24"/>
      <w:lang w:val="en-GB" w:eastAsia="en-GB"/>
    </w:rPr>
  </w:style>
  <w:style w:type="character" w:styleId="Emphasis">
    <w:name w:val="Emphasis"/>
    <w:basedOn w:val="DefaultParagraphFont"/>
    <w:uiPriority w:val="20"/>
    <w:qFormat/>
    <w:locked/>
    <w:rsid w:val="004D7EFA"/>
    <w:rPr>
      <w:i/>
      <w:iCs/>
    </w:rPr>
  </w:style>
  <w:style w:type="paragraph" w:customStyle="1" w:styleId="1">
    <w:name w:val="1"/>
    <w:basedOn w:val="Normal"/>
    <w:link w:val="FootnoteReference"/>
    <w:rsid w:val="00CF17DB"/>
    <w:pPr>
      <w:spacing w:after="160" w:line="240" w:lineRule="exact"/>
      <w:jc w:val="lef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3664">
      <w:bodyDiv w:val="1"/>
      <w:marLeft w:val="0"/>
      <w:marRight w:val="0"/>
      <w:marTop w:val="0"/>
      <w:marBottom w:val="0"/>
      <w:divBdr>
        <w:top w:val="none" w:sz="0" w:space="0" w:color="auto"/>
        <w:left w:val="none" w:sz="0" w:space="0" w:color="auto"/>
        <w:bottom w:val="none" w:sz="0" w:space="0" w:color="auto"/>
        <w:right w:val="none" w:sz="0" w:space="0" w:color="auto"/>
      </w:divBdr>
    </w:div>
    <w:div w:id="1337926729">
      <w:bodyDiv w:val="1"/>
      <w:marLeft w:val="0"/>
      <w:marRight w:val="0"/>
      <w:marTop w:val="0"/>
      <w:marBottom w:val="0"/>
      <w:divBdr>
        <w:top w:val="none" w:sz="0" w:space="0" w:color="auto"/>
        <w:left w:val="none" w:sz="0" w:space="0" w:color="auto"/>
        <w:bottom w:val="none" w:sz="0" w:space="0" w:color="auto"/>
        <w:right w:val="none" w:sz="0" w:space="0" w:color="auto"/>
      </w:divBdr>
    </w:div>
    <w:div w:id="1431050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dpo-register/detail/DPR-EC-00907" TargetMode="External"/><Relationship Id="rId26" Type="http://schemas.openxmlformats.org/officeDocument/2006/relationships/hyperlink" Target="mailto:edps@edps.europa.eu" TargetMode="External"/><Relationship Id="rId3" Type="http://schemas.openxmlformats.org/officeDocument/2006/relationships/customXml" Target="../customXml/item3.xml"/><Relationship Id="rId21" Type="http://schemas.openxmlformats.org/officeDocument/2006/relationships/hyperlink" Target="https://eur-lex.europa.eu/legal-content/EN/TXT/?uri=celex%3A32016R0679" TargetMode="Externa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c.europa.eu/dpo-register/detail/DPR-EC-04410" TargetMode="External"/><Relationship Id="rId25" Type="http://schemas.openxmlformats.org/officeDocument/2006/relationships/hyperlink" Target="mailto:DATA-PROTECTION-OFFICER@ec.europa.eu"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c.europa.eu/dpo-register/detail/DPR-EC-00301" TargetMode="External"/><Relationship Id="rId20" Type="http://schemas.openxmlformats.org/officeDocument/2006/relationships/hyperlink" Target="https://eur-lex.europa.eu/legal-content/EN/TXT/?qid=1548093747090&amp;uri=CELEX:32017D0046" TargetMode="External"/><Relationship Id="rId29" Type="http://schemas.openxmlformats.org/officeDocument/2006/relationships/hyperlink" Target="https://ec.europa.eu/dpo-register/detail/DPR-EC-01706"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FPI-DATA-PROTECTION@ec.europa.eu"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ur-lex.europa.eu/legal-content/EN/TXT/?uri=uriserv:OJ.L_.2018.295.01.0039.01.ENG&amp;toc=OJ:L:2018:295:TOC" TargetMode="External"/><Relationship Id="rId23" Type="http://schemas.openxmlformats.org/officeDocument/2006/relationships/hyperlink" Target="mailto:NEAR-R4@ec.europa.eu" TargetMode="External"/><Relationship Id="rId28" Type="http://schemas.openxmlformats.org/officeDocument/2006/relationships/hyperlink" Target="https://ec.europa.eu/dpo-register/detail/DPR-EC-01566" TargetMode="Externa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https://ec.europa.eu/info/funding-tenders/opportunities/portal/screen/how-to-participate/participant-register"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mailto:INTPA-R4@ec.europa.eu" TargetMode="External"/><Relationship Id="rId27" Type="http://schemas.openxmlformats.org/officeDocument/2006/relationships/hyperlink" Target="http://ec.europa.eu/dpo-register" TargetMode="External"/><Relationship Id="rId30" Type="http://schemas.openxmlformats.org/officeDocument/2006/relationships/hyperlink" Target="https://ec.europa.eu/dpo-register/detail/DPR-EC-04370"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data.consilium.europa.eu/doc/document/ST-11679-2021-INIT/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
  <Created>
    <Version>10.0.37613.0</Version>
    <Date>2019-01-16T22:16:09</Date>
    <Language>EN</Language>
    <Note/>
  </Created>
  <Edited>
    <Version>10.0.42447.0</Version>
    <Date>2021-11-12T15:01:48</Date>
  </Edited>
  <DocumentModel>
    <Id>0b054141-88b1-4efb-8c91-2905cb0bed6c</Id>
    <Name>Note</Name>
  </DocumentModel>
  <DocumentDate>2019-01-16T22:16:09</DocumentDate>
  <DocumentVersion>0.1</DocumentVersion>
  <CompatibilityMode>Eurolook10</CompatibilityMode>
</EurolookProperties>
</file>

<file path=customXml/item2.xml><?xml version="1.0" encoding="utf-8"?>
<Author Role="Creator">
  <Id>f507bb66-6ad3-4dae-a608-c8e5b700f415</Id>
  <Names>
    <Latin>
      <FirstName>Martin</FirstName>
      <LastName>KROEGER</LastName>
    </Latin>
    <Greek>
      <FirstName/>
      <LastName/>
    </Greek>
    <Cyrillic>
      <FirstName/>
      <LastName/>
    </Cyrillic>
    <DocumentScript>
      <FirstName>Martin</FirstName>
      <LastName>KROEGER</LastName>
      <FullName>Martin KROEGER</FullName>
    </DocumentScript>
  </Names>
  <Initials>MK</Initials>
  <Gender>m</Gender>
  <Email/>
  <Service>SG.DSG1.DPO</Service>
  <Function ShowInSignature="true">Head of Unit</Function>
  <WebAddress/>
  <InheritedWebAddress>WebAddress</InheritedWebAddress>
  <OrgaEntity1>
    <Id>dfeba4c5-4fee-4c38-9a3a-bbd8394ad370</Id>
    <LogicalLevel>1</LogicalLevel>
    <Name>SG</Name>
    <HeadLine1/>
    <HeadLine2/>
    <PrimaryAddressId>f03b5801-04c9-4931-aa17-c6d6c70bc579</PrimaryAddressId>
    <SecondaryAddressId/>
    <WebAddress>WebAddress</WebAddress>
    <InheritedWebAddress>WebAddress</InheritedWebAddress>
    <ShowInHeader>true</ShowInHeader>
  </OrgaEntity1>
  <OrgaEntity2/>
  <OrgaEntity3>
    <Id>0726de45-7494-4bf9-85b1-eeb5b0fbe451</Id>
    <LogicalLevel>3</LogicalLevel>
    <Name>SG.DSG1.DPO</Name>
    <HeadLine1>Data Protection Officer</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
</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+32 229 99559</Phone>
    <Office>F101 05/177</Office>
  </MainWorkplace>
  <Workplaces>
    <Workplace IsMain="false">
      <AddressId>1264fb81-f6bb-475e-9f9d-a937d3be6ee2</AddressId>
      <Fax/>
      <Phone/>
      <Office/>
    </Workplace>
    <Workplace IsMain="true">
      <AddressId>f03b5801-04c9-4931-aa17-c6d6c70bc579</AddressId>
      <Fax/>
      <Phone>+32 229 99559</Phone>
      <Office>F101 05/177</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EE044946-5330-43F7-8D16-AA78684F2938}">
  <ds:schemaRefs/>
</ds:datastoreItem>
</file>

<file path=customXml/itemProps3.xml><?xml version="1.0" encoding="utf-8"?>
<ds:datastoreItem xmlns:ds="http://schemas.openxmlformats.org/officeDocument/2006/customXml" ds:itemID="{4FBA8116-2E53-4221-955A-4306F3ED1744}">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CAB3042-D34B-4C1A-A328-5080F245A7D7}">
  <ds:schemaRefs>
    <ds:schemaRef ds:uri="http://schemas.microsoft.com/office/2006/documentManagement/types"/>
    <ds:schemaRef ds:uri="http://purl.org/dc/dcmitype/"/>
    <ds:schemaRef ds:uri="http://schemas.microsoft.com/office/infopath/2007/PartnerControls"/>
    <ds:schemaRef ds:uri="http://purl.org/dc/elements/1.1/"/>
    <ds:schemaRef ds:uri="b21a4a1d-4eb8-49d3-b465-be101281b0f3"/>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99008E14-85D9-47C9-BCAD-20734682C987}"/>
</file>

<file path=customXml/itemProps7.xml><?xml version="1.0" encoding="utf-8"?>
<ds:datastoreItem xmlns:ds="http://schemas.openxmlformats.org/officeDocument/2006/customXml" ds:itemID="{BAF352C8-526D-4076-BB29-43F7B75C4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6</Pages>
  <Words>6773</Words>
  <Characters>37458</Characters>
  <Application>Microsoft Office Word</Application>
  <DocSecurity>0</DocSecurity>
  <PresentationFormat>Microsoft Word 14.0</PresentationFormat>
  <Lines>535</Lines>
  <Paragraphs>335</Paragraphs>
  <ScaleCrop>true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PACKER Frida (SG)</dc:creator>
  <cp:lastModifiedBy>DUBOIS Laurence (INTPA)</cp:lastModifiedBy>
  <cp:revision>6</cp:revision>
  <cp:lastPrinted>2019-06-13T07:56:00Z</cp:lastPrinted>
  <dcterms:created xsi:type="dcterms:W3CDTF">2022-05-16T13:18:00Z</dcterms:created>
  <dcterms:modified xsi:type="dcterms:W3CDTF">2022-08-02T08:01:00Z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